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715" w:rsidRPr="005E7715" w:rsidRDefault="005E7715" w:rsidP="005E7715">
      <w:pPr>
        <w:jc w:val="center"/>
        <w:rPr>
          <w:b/>
          <w:sz w:val="32"/>
        </w:rPr>
      </w:pPr>
      <w:r w:rsidRPr="005E7715">
        <w:rPr>
          <w:b/>
          <w:sz w:val="40"/>
        </w:rPr>
        <w:t>From what particular mental</w:t>
      </w:r>
      <w:r w:rsidRPr="005E7715">
        <w:rPr>
          <w:b/>
          <w:sz w:val="40"/>
        </w:rPr>
        <w:t xml:space="preserve"> illness does Esther Greenwood seem to be suffering?</w:t>
      </w:r>
    </w:p>
    <w:p w:rsidR="005E7715" w:rsidRDefault="005E7715" w:rsidP="005E7715"/>
    <w:p w:rsidR="005E7715" w:rsidRDefault="005E7715" w:rsidP="005E7715">
      <w:r>
        <w:t xml:space="preserve">As </w:t>
      </w:r>
      <w:r>
        <w:t xml:space="preserve">Frances </w:t>
      </w:r>
      <w:proofErr w:type="spellStart"/>
      <w:r>
        <w:t>McCullogh</w:t>
      </w:r>
      <w:proofErr w:type="spellEnd"/>
      <w:r>
        <w:t xml:space="preserve"> notes in her </w:t>
      </w:r>
      <w:r>
        <w:t>foreword</w:t>
      </w:r>
      <w:r>
        <w:t xml:space="preserve"> to the novel, Esther’s illness </w:t>
      </w:r>
      <w:r>
        <w:t xml:space="preserve">has never been diagnosed, but many knowledgeable critics have determined that Plath is presenting an incredibly accurate picture of schizophrenia.  Consider the following symptoms of the family of disorders we have come to refer to as </w:t>
      </w:r>
      <w:r>
        <w:rPr>
          <w:i/>
        </w:rPr>
        <w:t>schizophrenia</w:t>
      </w:r>
      <w:r>
        <w:t xml:space="preserve">:  </w:t>
      </w:r>
    </w:p>
    <w:p w:rsidR="005E7715" w:rsidRDefault="005E7715" w:rsidP="005E7715">
      <w:pPr>
        <w:ind w:left="4320"/>
      </w:pPr>
    </w:p>
    <w:p w:rsidR="005E7715" w:rsidRDefault="005E7715" w:rsidP="005E7715">
      <w:r>
        <w:rPr>
          <w:b/>
        </w:rPr>
        <w:t>P</w:t>
      </w:r>
      <w:r>
        <w:rPr>
          <w:b/>
        </w:rPr>
        <w:t xml:space="preserve">aranoid </w:t>
      </w:r>
      <w:r w:rsidRPr="00B71EEA">
        <w:rPr>
          <w:b/>
        </w:rPr>
        <w:t>delusions</w:t>
      </w:r>
      <w:r>
        <w:t xml:space="preserve"> (two types)</w:t>
      </w:r>
    </w:p>
    <w:p w:rsidR="005E7715" w:rsidRDefault="005E7715" w:rsidP="005E7715">
      <w:pPr>
        <w:numPr>
          <w:ilvl w:val="0"/>
          <w:numId w:val="2"/>
        </w:numPr>
      </w:pPr>
      <w:proofErr w:type="gramStart"/>
      <w:r w:rsidRPr="00B71EEA">
        <w:rPr>
          <w:u w:val="single"/>
        </w:rPr>
        <w:t>delusions</w:t>
      </w:r>
      <w:proofErr w:type="gramEnd"/>
      <w:r w:rsidRPr="00B71EEA">
        <w:rPr>
          <w:u w:val="single"/>
        </w:rPr>
        <w:t xml:space="preserve"> of grandeur</w:t>
      </w:r>
      <w:r>
        <w:t xml:space="preserve">—The </w:t>
      </w:r>
      <w:r>
        <w:t xml:space="preserve">sufferer might fancy himself or herself to be Jesus Christ, Napoleon, the Virgin </w:t>
      </w:r>
      <w:smartTag w:uri="urn:schemas-microsoft-com:office:smarttags" w:element="PersonName">
        <w:r>
          <w:t>Mary</w:t>
        </w:r>
      </w:smartTag>
      <w:r>
        <w:t>, etc.  Clearly this does not appear to be present in Esther’s case.</w:t>
      </w:r>
    </w:p>
    <w:p w:rsidR="005E7715" w:rsidRDefault="005E7715" w:rsidP="005E7715">
      <w:pPr>
        <w:numPr>
          <w:ilvl w:val="0"/>
          <w:numId w:val="2"/>
        </w:numPr>
      </w:pPr>
      <w:proofErr w:type="gramStart"/>
      <w:r>
        <w:rPr>
          <w:u w:val="single"/>
        </w:rPr>
        <w:t>delusions</w:t>
      </w:r>
      <w:proofErr w:type="gramEnd"/>
      <w:r>
        <w:rPr>
          <w:u w:val="single"/>
        </w:rPr>
        <w:t xml:space="preserve"> of persecution</w:t>
      </w:r>
      <w:r>
        <w:t>—</w:t>
      </w:r>
      <w:r>
        <w:t xml:space="preserve"> The sufferer might suspect that others are plotting </w:t>
      </w:r>
      <w:r>
        <w:t xml:space="preserve">against or planning to hurt him / her in some way.  This </w:t>
      </w:r>
      <w:r w:rsidRPr="005E7715">
        <w:rPr>
          <w:i/>
        </w:rPr>
        <w:t>does</w:t>
      </w:r>
      <w:r>
        <w:t xml:space="preserve"> enter into this particular </w:t>
      </w:r>
      <w:r>
        <w:t>case;  review these particular</w:t>
      </w:r>
      <w:r>
        <w:t xml:space="preserve"> passages:</w:t>
      </w:r>
    </w:p>
    <w:p w:rsidR="005E7715" w:rsidRDefault="005E7715" w:rsidP="005E7715">
      <w:pPr>
        <w:ind w:left="5460"/>
      </w:pPr>
      <w:r>
        <w:tab/>
        <w:t xml:space="preserve">         </w:t>
      </w:r>
      <w:proofErr w:type="gramStart"/>
      <w:r>
        <w:t>page</w:t>
      </w:r>
      <w:proofErr w:type="gramEnd"/>
      <w:r>
        <w:t xml:space="preserve"> 187 (first three </w:t>
      </w:r>
    </w:p>
    <w:p w:rsidR="005E7715" w:rsidRDefault="005E7715" w:rsidP="005E7715">
      <w:pPr>
        <w:ind w:left="6900" w:firstLine="300"/>
      </w:pPr>
      <w:proofErr w:type="gramStart"/>
      <w:r>
        <w:t>lines</w:t>
      </w:r>
      <w:proofErr w:type="gramEnd"/>
      <w:r>
        <w:t>)</w:t>
      </w:r>
    </w:p>
    <w:p w:rsidR="005E7715" w:rsidRDefault="005E7715" w:rsidP="005E7715">
      <w:r>
        <w:tab/>
      </w:r>
      <w:r>
        <w:tab/>
      </w:r>
      <w:r>
        <w:tab/>
      </w:r>
      <w:r>
        <w:tab/>
      </w:r>
      <w:r>
        <w:tab/>
      </w:r>
      <w:r>
        <w:tab/>
      </w:r>
      <w:r>
        <w:tab/>
      </w:r>
      <w:r>
        <w:tab/>
        <w:t xml:space="preserve">         </w:t>
      </w:r>
      <w:proofErr w:type="gramStart"/>
      <w:r>
        <w:t>page</w:t>
      </w:r>
      <w:proofErr w:type="gramEnd"/>
      <w:r>
        <w:t xml:space="preserve"> 190 (lines 17-18)</w:t>
      </w:r>
    </w:p>
    <w:p w:rsidR="005E7715" w:rsidRDefault="005E7715" w:rsidP="005E7715">
      <w:r>
        <w:tab/>
      </w:r>
      <w:r>
        <w:tab/>
      </w:r>
      <w:r>
        <w:tab/>
      </w:r>
      <w:r>
        <w:tab/>
      </w:r>
      <w:r>
        <w:tab/>
      </w:r>
      <w:r>
        <w:tab/>
      </w:r>
      <w:r>
        <w:tab/>
      </w:r>
      <w:r>
        <w:tab/>
        <w:t xml:space="preserve">         </w:t>
      </w:r>
      <w:proofErr w:type="gramStart"/>
      <w:r>
        <w:t>page</w:t>
      </w:r>
      <w:proofErr w:type="gramEnd"/>
      <w:r>
        <w:t xml:space="preserve"> 241 (lines 18-19)</w:t>
      </w:r>
      <w:r>
        <w:tab/>
      </w:r>
    </w:p>
    <w:p w:rsidR="005E7715" w:rsidRDefault="005E7715" w:rsidP="005E7715">
      <w:pPr>
        <w:rPr>
          <w:b/>
        </w:rPr>
      </w:pPr>
    </w:p>
    <w:p w:rsidR="005E7715" w:rsidRPr="001B30F7" w:rsidRDefault="005E7715" w:rsidP="005E7715">
      <w:pPr>
        <w:rPr>
          <w:b/>
        </w:rPr>
      </w:pPr>
      <w:r w:rsidRPr="001B30F7">
        <w:rPr>
          <w:b/>
        </w:rPr>
        <w:t>H</w:t>
      </w:r>
      <w:r w:rsidRPr="001B30F7">
        <w:rPr>
          <w:b/>
        </w:rPr>
        <w:t>allucinations</w:t>
      </w:r>
    </w:p>
    <w:p w:rsidR="005E7715" w:rsidRDefault="005E7715" w:rsidP="005E7715">
      <w:pPr>
        <w:rPr>
          <w:b/>
        </w:rPr>
      </w:pPr>
    </w:p>
    <w:p w:rsidR="001B30F7" w:rsidRDefault="005E7715" w:rsidP="005E7715">
      <w:pPr>
        <w:pStyle w:val="FootnoteText"/>
        <w:rPr>
          <w:sz w:val="24"/>
        </w:rPr>
      </w:pPr>
      <w:r w:rsidRPr="001B30F7">
        <w:rPr>
          <w:b/>
          <w:sz w:val="24"/>
        </w:rPr>
        <w:t>I</w:t>
      </w:r>
      <w:r w:rsidRPr="001B30F7">
        <w:rPr>
          <w:b/>
          <w:sz w:val="24"/>
        </w:rPr>
        <w:t>llusions</w:t>
      </w:r>
      <w:r w:rsidRPr="001B30F7">
        <w:rPr>
          <w:sz w:val="24"/>
        </w:rPr>
        <w:t>—</w:t>
      </w:r>
      <w:proofErr w:type="gramStart"/>
      <w:r w:rsidRPr="001B30F7">
        <w:rPr>
          <w:sz w:val="24"/>
        </w:rPr>
        <w:t>The</w:t>
      </w:r>
      <w:proofErr w:type="gramEnd"/>
      <w:r w:rsidRPr="001B30F7">
        <w:rPr>
          <w:sz w:val="24"/>
        </w:rPr>
        <w:t xml:space="preserve"> fact that Esther cannot read because the letters on the page start to jump and stretch and move is interesting.  Psychologists would term this an </w:t>
      </w:r>
      <w:r w:rsidRPr="001B30F7">
        <w:rPr>
          <w:i/>
          <w:sz w:val="24"/>
        </w:rPr>
        <w:t>illusion</w:t>
      </w:r>
      <w:r w:rsidRPr="001B30F7">
        <w:rPr>
          <w:sz w:val="24"/>
        </w:rPr>
        <w:t xml:space="preserve">. </w:t>
      </w:r>
    </w:p>
    <w:p w:rsidR="001B30F7" w:rsidRDefault="001B30F7" w:rsidP="005E7715">
      <w:pPr>
        <w:pStyle w:val="FootnoteText"/>
        <w:rPr>
          <w:sz w:val="24"/>
        </w:rPr>
      </w:pPr>
    </w:p>
    <w:p w:rsidR="005E7715" w:rsidRPr="001B30F7" w:rsidRDefault="005E7715" w:rsidP="005E7715">
      <w:pPr>
        <w:pStyle w:val="FootnoteText"/>
        <w:rPr>
          <w:b/>
          <w:sz w:val="24"/>
        </w:rPr>
      </w:pPr>
      <w:r w:rsidRPr="001B30F7">
        <w:rPr>
          <w:b/>
          <w:sz w:val="24"/>
          <w:lang w:val="en-CA"/>
        </w:rPr>
        <w:t>(</w:t>
      </w:r>
      <w:proofErr w:type="gramStart"/>
      <w:r w:rsidRPr="001B30F7">
        <w:rPr>
          <w:b/>
          <w:sz w:val="24"/>
          <w:lang w:val="en-CA"/>
        </w:rPr>
        <w:t>note</w:t>
      </w:r>
      <w:proofErr w:type="gramEnd"/>
      <w:r w:rsidRPr="001B30F7">
        <w:rPr>
          <w:b/>
          <w:sz w:val="24"/>
          <w:lang w:val="en-CA"/>
        </w:rPr>
        <w:t xml:space="preserve">: </w:t>
      </w:r>
      <w:r w:rsidRPr="001B30F7">
        <w:rPr>
          <w:b/>
          <w:sz w:val="24"/>
        </w:rPr>
        <w:t>They would not call this a delusion because the letters actually do exist on the page.  When a patient’s perception of an actual item (one that actually exists and is present) becomes distorted, this is an illusion on his / her part.  When they see something that is not actually pr</w:t>
      </w:r>
      <w:bookmarkStart w:id="0" w:name="_GoBack"/>
      <w:bookmarkEnd w:id="0"/>
      <w:r w:rsidRPr="001B30F7">
        <w:rPr>
          <w:b/>
          <w:sz w:val="24"/>
        </w:rPr>
        <w:t xml:space="preserve">esent, their perception of that item is a </w:t>
      </w:r>
      <w:r w:rsidRPr="001B30F7">
        <w:rPr>
          <w:b/>
          <w:i/>
          <w:sz w:val="24"/>
        </w:rPr>
        <w:t>delusion</w:t>
      </w:r>
      <w:r w:rsidRPr="001B30F7">
        <w:rPr>
          <w:b/>
          <w:sz w:val="24"/>
        </w:rPr>
        <w:t xml:space="preserve"> (not based in reality).  You should think of an </w:t>
      </w:r>
      <w:r w:rsidRPr="001B30F7">
        <w:rPr>
          <w:b/>
          <w:i/>
          <w:sz w:val="24"/>
        </w:rPr>
        <w:t>illusion</w:t>
      </w:r>
      <w:r w:rsidRPr="001B30F7">
        <w:rPr>
          <w:b/>
          <w:sz w:val="24"/>
        </w:rPr>
        <w:t xml:space="preserve"> as a perceptual </w:t>
      </w:r>
      <w:r w:rsidRPr="001B30F7">
        <w:rPr>
          <w:b/>
          <w:i/>
          <w:sz w:val="24"/>
        </w:rPr>
        <w:t>distortion</w:t>
      </w:r>
      <w:r w:rsidRPr="001B30F7">
        <w:rPr>
          <w:b/>
          <w:sz w:val="24"/>
        </w:rPr>
        <w:t>.</w:t>
      </w:r>
      <w:r w:rsidRPr="001B30F7">
        <w:rPr>
          <w:b/>
          <w:sz w:val="24"/>
        </w:rPr>
        <w:t>)</w:t>
      </w:r>
    </w:p>
    <w:p w:rsidR="005E7715" w:rsidRPr="00D908B3" w:rsidRDefault="005E7715" w:rsidP="005E7715">
      <w:pPr>
        <w:pStyle w:val="FootnoteText"/>
      </w:pPr>
    </w:p>
    <w:p w:rsidR="005E7715" w:rsidRDefault="005E7715" w:rsidP="005E7715">
      <w:pPr>
        <w:rPr>
          <w:b/>
        </w:rPr>
      </w:pPr>
      <w:r>
        <w:t xml:space="preserve">  Another example would be hallways that suddenly become narrow tunnels or confining corridors</w:t>
      </w:r>
      <w:r w:rsidRPr="00D908B3">
        <w:rPr>
          <w:b/>
        </w:rPr>
        <w:t>.</w:t>
      </w:r>
    </w:p>
    <w:p w:rsidR="001B30F7" w:rsidRDefault="001B30F7" w:rsidP="005E7715">
      <w:pPr>
        <w:rPr>
          <w:b/>
        </w:rPr>
      </w:pPr>
    </w:p>
    <w:p w:rsidR="005E7715" w:rsidRPr="00924B1C" w:rsidRDefault="001B30F7" w:rsidP="001B30F7">
      <w:pPr>
        <w:rPr>
          <w:b/>
        </w:rPr>
      </w:pPr>
      <w:r>
        <w:rPr>
          <w:b/>
        </w:rPr>
        <w:t>I</w:t>
      </w:r>
      <w:r w:rsidR="005E7715">
        <w:rPr>
          <w:b/>
        </w:rPr>
        <w:t>deas of reference</w:t>
      </w:r>
      <w:r w:rsidR="005E7715">
        <w:t>—</w:t>
      </w:r>
      <w:proofErr w:type="gramStart"/>
      <w:r w:rsidR="005E7715">
        <w:t>This</w:t>
      </w:r>
      <w:proofErr w:type="gramEnd"/>
      <w:r w:rsidR="005E7715">
        <w:t xml:space="preserve"> is the case when the patient perceives that innocuous situations, gestures, phenomena, etc. have direct reference to him / herself.  </w:t>
      </w:r>
      <w:r>
        <w:t>(</w:t>
      </w:r>
      <w:proofErr w:type="gramStart"/>
      <w:r>
        <w:t>increased</w:t>
      </w:r>
      <w:proofErr w:type="gramEnd"/>
      <w:r>
        <w:t xml:space="preserve"> paranoia) </w:t>
      </w:r>
      <w:r w:rsidR="005E7715">
        <w:t>Review page 133 (line 27) to page 134 (line 10).</w:t>
      </w:r>
    </w:p>
    <w:p w:rsidR="001B30F7" w:rsidRDefault="001B30F7" w:rsidP="001B30F7">
      <w:pPr>
        <w:rPr>
          <w:b/>
        </w:rPr>
      </w:pPr>
    </w:p>
    <w:p w:rsidR="001B30F7" w:rsidRDefault="005E7715" w:rsidP="001B30F7">
      <w:pPr>
        <w:rPr>
          <w:b/>
        </w:rPr>
      </w:pPr>
      <w:r>
        <w:rPr>
          <w:b/>
        </w:rPr>
        <w:t>Insomnia</w:t>
      </w:r>
    </w:p>
    <w:p w:rsidR="005E7715" w:rsidRDefault="001B30F7" w:rsidP="001B30F7">
      <w:pPr>
        <w:rPr>
          <w:b/>
        </w:rPr>
      </w:pPr>
      <w:r>
        <w:rPr>
          <w:b/>
        </w:rPr>
        <w:t>D</w:t>
      </w:r>
      <w:r w:rsidR="005E7715">
        <w:rPr>
          <w:b/>
        </w:rPr>
        <w:t>egradation in hygiene</w:t>
      </w:r>
      <w:r w:rsidR="005E7715">
        <w:t xml:space="preserve"> (refusal to bathe) </w:t>
      </w:r>
    </w:p>
    <w:p w:rsidR="005E7715" w:rsidRDefault="001B30F7" w:rsidP="001B30F7">
      <w:r>
        <w:rPr>
          <w:b/>
        </w:rPr>
        <w:t>L</w:t>
      </w:r>
      <w:r w:rsidR="005E7715">
        <w:rPr>
          <w:b/>
        </w:rPr>
        <w:t>oose associations</w:t>
      </w:r>
      <w:r w:rsidR="005E7715">
        <w:t xml:space="preserve"> (two types):</w:t>
      </w:r>
    </w:p>
    <w:p w:rsidR="005E7715" w:rsidRPr="001B30F7" w:rsidRDefault="005E7715" w:rsidP="005E7715">
      <w:pPr>
        <w:numPr>
          <w:ilvl w:val="0"/>
          <w:numId w:val="3"/>
        </w:numPr>
      </w:pPr>
      <w:proofErr w:type="gramStart"/>
      <w:r>
        <w:rPr>
          <w:u w:val="single"/>
        </w:rPr>
        <w:t>cognitive</w:t>
      </w:r>
      <w:r>
        <w:t>—</w:t>
      </w:r>
      <w:proofErr w:type="gramEnd"/>
      <w:r>
        <w:rPr>
          <w:i/>
        </w:rPr>
        <w:t>Cognition</w:t>
      </w:r>
      <w:r>
        <w:t xml:space="preserve"> </w:t>
      </w:r>
      <w:r>
        <w:t xml:space="preserve">refers to thought </w:t>
      </w:r>
      <w:r>
        <w:t xml:space="preserve">processes.  Loose associations affecting </w:t>
      </w:r>
      <w:r>
        <w:t xml:space="preserve">cognition concern the </w:t>
      </w:r>
      <w:r>
        <w:t xml:space="preserve">random and often illogical flow of </w:t>
      </w:r>
      <w:r>
        <w:t>thoughts running</w:t>
      </w:r>
      <w:r>
        <w:t xml:space="preserve"> through the mind of the patient.  This confusing procession of thoughts and random </w:t>
      </w:r>
      <w:r w:rsidR="001B30F7">
        <w:t xml:space="preserve">connections </w:t>
      </w:r>
      <w:r w:rsidR="001B30F7" w:rsidRPr="001B30F7">
        <w:rPr>
          <w:highlight w:val="cyan"/>
        </w:rPr>
        <w:t>make it</w:t>
      </w:r>
      <w:r w:rsidRPr="001B30F7">
        <w:rPr>
          <w:highlight w:val="cyan"/>
        </w:rPr>
        <w:t xml:space="preserve"> impossible to follow the patient’s conversation.</w:t>
      </w:r>
    </w:p>
    <w:p w:rsidR="005E7715" w:rsidRDefault="005E7715" w:rsidP="005E7715">
      <w:pPr>
        <w:ind w:left="2771"/>
      </w:pPr>
    </w:p>
    <w:p w:rsidR="005E7715" w:rsidRPr="00731E82" w:rsidRDefault="005E7715" w:rsidP="005E7715">
      <w:pPr>
        <w:numPr>
          <w:ilvl w:val="0"/>
          <w:numId w:val="3"/>
        </w:numPr>
      </w:pPr>
      <w:proofErr w:type="gramStart"/>
      <w:r>
        <w:rPr>
          <w:u w:val="single"/>
        </w:rPr>
        <w:t>affective</w:t>
      </w:r>
      <w:r>
        <w:t>—</w:t>
      </w:r>
      <w:proofErr w:type="gramEnd"/>
      <w:r>
        <w:t>This is a similar type of conflict between subject and  object, but the focus is not on cognition  (thought) but instead on  emotion.</w:t>
      </w:r>
    </w:p>
    <w:p w:rsidR="005771A9" w:rsidRDefault="005771A9"/>
    <w:sectPr w:rsidR="005771A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7BB" w:rsidRDefault="002927BB" w:rsidP="005E7715">
      <w:r>
        <w:separator/>
      </w:r>
    </w:p>
  </w:endnote>
  <w:endnote w:type="continuationSeparator" w:id="0">
    <w:p w:rsidR="002927BB" w:rsidRDefault="002927BB" w:rsidP="005E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7BB" w:rsidRDefault="002927BB" w:rsidP="005E7715">
      <w:r>
        <w:separator/>
      </w:r>
    </w:p>
  </w:footnote>
  <w:footnote w:type="continuationSeparator" w:id="0">
    <w:p w:rsidR="002927BB" w:rsidRDefault="002927BB" w:rsidP="005E7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07C9A"/>
    <w:multiLevelType w:val="hybridMultilevel"/>
    <w:tmpl w:val="08342F4C"/>
    <w:lvl w:ilvl="0" w:tplc="70AE37D4">
      <w:start w:val="1"/>
      <w:numFmt w:val="lowerLetter"/>
      <w:lvlText w:val="%1.)"/>
      <w:lvlJc w:val="left"/>
      <w:pPr>
        <w:tabs>
          <w:tab w:val="num" w:pos="2771"/>
        </w:tabs>
        <w:ind w:left="2771" w:hanging="360"/>
      </w:pPr>
      <w:rPr>
        <w:rFonts w:hint="default"/>
      </w:rPr>
    </w:lvl>
    <w:lvl w:ilvl="1" w:tplc="04090019">
      <w:start w:val="1"/>
      <w:numFmt w:val="lowerLetter"/>
      <w:lvlText w:val="%2."/>
      <w:lvlJc w:val="left"/>
      <w:pPr>
        <w:tabs>
          <w:tab w:val="num" w:pos="3491"/>
        </w:tabs>
        <w:ind w:left="3491" w:hanging="360"/>
      </w:pPr>
    </w:lvl>
    <w:lvl w:ilvl="2" w:tplc="0409001B" w:tentative="1">
      <w:start w:val="1"/>
      <w:numFmt w:val="lowerRoman"/>
      <w:lvlText w:val="%3."/>
      <w:lvlJc w:val="right"/>
      <w:pPr>
        <w:tabs>
          <w:tab w:val="num" w:pos="4211"/>
        </w:tabs>
        <w:ind w:left="4211" w:hanging="180"/>
      </w:pPr>
    </w:lvl>
    <w:lvl w:ilvl="3" w:tplc="0409000F" w:tentative="1">
      <w:start w:val="1"/>
      <w:numFmt w:val="decimal"/>
      <w:lvlText w:val="%4."/>
      <w:lvlJc w:val="left"/>
      <w:pPr>
        <w:tabs>
          <w:tab w:val="num" w:pos="4931"/>
        </w:tabs>
        <w:ind w:left="4931" w:hanging="360"/>
      </w:pPr>
    </w:lvl>
    <w:lvl w:ilvl="4" w:tplc="04090019" w:tentative="1">
      <w:start w:val="1"/>
      <w:numFmt w:val="lowerLetter"/>
      <w:lvlText w:val="%5."/>
      <w:lvlJc w:val="left"/>
      <w:pPr>
        <w:tabs>
          <w:tab w:val="num" w:pos="5651"/>
        </w:tabs>
        <w:ind w:left="5651" w:hanging="360"/>
      </w:pPr>
    </w:lvl>
    <w:lvl w:ilvl="5" w:tplc="0409001B" w:tentative="1">
      <w:start w:val="1"/>
      <w:numFmt w:val="lowerRoman"/>
      <w:lvlText w:val="%6."/>
      <w:lvlJc w:val="right"/>
      <w:pPr>
        <w:tabs>
          <w:tab w:val="num" w:pos="6371"/>
        </w:tabs>
        <w:ind w:left="6371" w:hanging="180"/>
      </w:pPr>
    </w:lvl>
    <w:lvl w:ilvl="6" w:tplc="0409000F" w:tentative="1">
      <w:start w:val="1"/>
      <w:numFmt w:val="decimal"/>
      <w:lvlText w:val="%7."/>
      <w:lvlJc w:val="left"/>
      <w:pPr>
        <w:tabs>
          <w:tab w:val="num" w:pos="7091"/>
        </w:tabs>
        <w:ind w:left="7091" w:hanging="360"/>
      </w:pPr>
    </w:lvl>
    <w:lvl w:ilvl="7" w:tplc="04090019" w:tentative="1">
      <w:start w:val="1"/>
      <w:numFmt w:val="lowerLetter"/>
      <w:lvlText w:val="%8."/>
      <w:lvlJc w:val="left"/>
      <w:pPr>
        <w:tabs>
          <w:tab w:val="num" w:pos="7811"/>
        </w:tabs>
        <w:ind w:left="7811" w:hanging="360"/>
      </w:pPr>
    </w:lvl>
    <w:lvl w:ilvl="8" w:tplc="0409001B" w:tentative="1">
      <w:start w:val="1"/>
      <w:numFmt w:val="lowerRoman"/>
      <w:lvlText w:val="%9."/>
      <w:lvlJc w:val="right"/>
      <w:pPr>
        <w:tabs>
          <w:tab w:val="num" w:pos="8531"/>
        </w:tabs>
        <w:ind w:left="8531" w:hanging="180"/>
      </w:pPr>
    </w:lvl>
  </w:abstractNum>
  <w:abstractNum w:abstractNumId="1">
    <w:nsid w:val="2B046E00"/>
    <w:multiLevelType w:val="hybridMultilevel"/>
    <w:tmpl w:val="F38CE1D0"/>
    <w:lvl w:ilvl="0" w:tplc="FCD6394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9334482"/>
    <w:multiLevelType w:val="hybridMultilevel"/>
    <w:tmpl w:val="E73C98E4"/>
    <w:lvl w:ilvl="0" w:tplc="9CE2F9E8">
      <w:numFmt w:val="bullet"/>
      <w:lvlText w:val=""/>
      <w:lvlJc w:val="left"/>
      <w:pPr>
        <w:tabs>
          <w:tab w:val="num" w:pos="1571"/>
        </w:tabs>
        <w:ind w:left="1571" w:hanging="720"/>
      </w:pPr>
      <w:rPr>
        <w:rFonts w:ascii="Symbol" w:eastAsia="Times New Roman" w:hAnsi="Symbol" w:cs="Times New Roman" w:hint="default"/>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715"/>
    <w:rsid w:val="001B30F7"/>
    <w:rsid w:val="002927BB"/>
    <w:rsid w:val="00430B81"/>
    <w:rsid w:val="005771A9"/>
    <w:rsid w:val="005E7715"/>
    <w:rsid w:val="00E135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715"/>
    <w:pPr>
      <w:jc w:val="left"/>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E7715"/>
    <w:rPr>
      <w:sz w:val="20"/>
    </w:rPr>
  </w:style>
  <w:style w:type="character" w:customStyle="1" w:styleId="FootnoteTextChar">
    <w:name w:val="Footnote Text Char"/>
    <w:basedOn w:val="DefaultParagraphFont"/>
    <w:link w:val="FootnoteText"/>
    <w:semiHidden/>
    <w:rsid w:val="005E7715"/>
    <w:rPr>
      <w:rFonts w:ascii="Times New Roman" w:eastAsia="Times New Roman" w:hAnsi="Times New Roman" w:cs="Times New Roman"/>
      <w:sz w:val="20"/>
      <w:szCs w:val="20"/>
      <w:lang w:val="en-US"/>
    </w:rPr>
  </w:style>
  <w:style w:type="character" w:styleId="FootnoteReference">
    <w:name w:val="footnote reference"/>
    <w:semiHidden/>
    <w:rsid w:val="005E77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715"/>
    <w:pPr>
      <w:jc w:val="left"/>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E7715"/>
    <w:rPr>
      <w:sz w:val="20"/>
    </w:rPr>
  </w:style>
  <w:style w:type="character" w:customStyle="1" w:styleId="FootnoteTextChar">
    <w:name w:val="Footnote Text Char"/>
    <w:basedOn w:val="DefaultParagraphFont"/>
    <w:link w:val="FootnoteText"/>
    <w:semiHidden/>
    <w:rsid w:val="005E7715"/>
    <w:rPr>
      <w:rFonts w:ascii="Times New Roman" w:eastAsia="Times New Roman" w:hAnsi="Times New Roman" w:cs="Times New Roman"/>
      <w:sz w:val="20"/>
      <w:szCs w:val="20"/>
      <w:lang w:val="en-US"/>
    </w:rPr>
  </w:style>
  <w:style w:type="character" w:styleId="FootnoteReference">
    <w:name w:val="footnote reference"/>
    <w:semiHidden/>
    <w:rsid w:val="005E77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1</cp:revision>
  <dcterms:created xsi:type="dcterms:W3CDTF">2015-10-06T22:29:00Z</dcterms:created>
  <dcterms:modified xsi:type="dcterms:W3CDTF">2015-10-06T23:14:00Z</dcterms:modified>
</cp:coreProperties>
</file>