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C6" w:rsidRPr="009D73CC" w:rsidRDefault="009D73CC" w:rsidP="002319C6">
      <w:pPr>
        <w:spacing w:line="240" w:lineRule="auto"/>
        <w:contextualSpacing/>
        <w:rPr>
          <w:rFonts w:ascii="Times New Roman" w:hAnsi="Times New Roman" w:cs="Times New Roman"/>
        </w:rPr>
      </w:pPr>
      <w:r w:rsidRPr="009D73CC">
        <w:rPr>
          <w:rFonts w:ascii="Times New Roman" w:hAnsi="Times New Roman" w:cs="Times New Roman"/>
        </w:rPr>
        <w:t>ENG 4UR</w:t>
      </w:r>
      <w:r w:rsidR="002319C6" w:rsidRPr="009D73CC">
        <w:rPr>
          <w:rFonts w:ascii="Times New Roman" w:hAnsi="Times New Roman" w:cs="Times New Roman"/>
        </w:rPr>
        <w:t xml:space="preserve"> </w:t>
      </w:r>
      <w:r w:rsidRPr="009D73CC">
        <w:rPr>
          <w:rFonts w:ascii="Times New Roman" w:hAnsi="Times New Roman" w:cs="Times New Roman"/>
        </w:rPr>
        <w:t xml:space="preserve"> </w:t>
      </w:r>
      <w:r w:rsidR="003B62EB">
        <w:rPr>
          <w:rFonts w:ascii="Times New Roman" w:hAnsi="Times New Roman" w:cs="Times New Roman"/>
        </w:rPr>
        <w:tab/>
      </w:r>
      <w:r w:rsidR="003B62EB">
        <w:rPr>
          <w:rFonts w:ascii="Times New Roman" w:hAnsi="Times New Roman" w:cs="Times New Roman"/>
        </w:rPr>
        <w:tab/>
      </w:r>
      <w:r w:rsidR="003B62EB">
        <w:rPr>
          <w:rFonts w:ascii="Times New Roman" w:hAnsi="Times New Roman" w:cs="Times New Roman"/>
        </w:rPr>
        <w:tab/>
      </w:r>
      <w:proofErr w:type="gramStart"/>
      <w:r w:rsidRPr="003B62EB">
        <w:rPr>
          <w:rFonts w:ascii="Times New Roman" w:hAnsi="Times New Roman" w:cs="Times New Roman"/>
          <w:b/>
          <w:i/>
          <w:sz w:val="28"/>
        </w:rPr>
        <w:t>The</w:t>
      </w:r>
      <w:proofErr w:type="gramEnd"/>
      <w:r w:rsidRPr="003B62EB">
        <w:rPr>
          <w:rFonts w:ascii="Times New Roman" w:hAnsi="Times New Roman" w:cs="Times New Roman"/>
          <w:b/>
          <w:i/>
          <w:sz w:val="28"/>
        </w:rPr>
        <w:t xml:space="preserve"> Bell Jar </w:t>
      </w:r>
      <w:r w:rsidRPr="003B62EB">
        <w:rPr>
          <w:rFonts w:ascii="Times New Roman" w:hAnsi="Times New Roman" w:cs="Times New Roman"/>
          <w:b/>
          <w:sz w:val="28"/>
          <w:lang w:val="en-US"/>
        </w:rPr>
        <w:t>Key Scene Analysis and Seminar Task</w:t>
      </w:r>
    </w:p>
    <w:p w:rsidR="002319C6" w:rsidRPr="009D73CC" w:rsidRDefault="002319C6" w:rsidP="002319C6">
      <w:pPr>
        <w:widowControl w:val="0"/>
        <w:contextualSpacing/>
        <w:jc w:val="both"/>
        <w:rPr>
          <w:rFonts w:ascii="Times New Roman" w:hAnsi="Times New Roman" w:cs="Times New Roman"/>
          <w:sz w:val="20"/>
        </w:rPr>
      </w:pPr>
    </w:p>
    <w:p w:rsidR="002319C6" w:rsidRPr="009D73CC" w:rsidRDefault="002319C6" w:rsidP="002319C6">
      <w:pPr>
        <w:widowControl w:val="0"/>
        <w:ind w:firstLine="360"/>
        <w:contextualSpacing/>
        <w:jc w:val="both"/>
        <w:rPr>
          <w:rFonts w:ascii="Times New Roman" w:hAnsi="Times New Roman" w:cs="Times New Roman"/>
          <w:sz w:val="20"/>
        </w:rPr>
      </w:pPr>
      <w:r w:rsidRPr="009D73CC">
        <w:rPr>
          <w:rFonts w:ascii="Times New Roman" w:hAnsi="Times New Roman" w:cs="Times New Roman"/>
          <w:sz w:val="20"/>
        </w:rPr>
        <w:t>Key scene analysis is an important tool in understanding the complexity and the unity of the larger literary work.  In a key scene analysis, students focus on:</w:t>
      </w:r>
    </w:p>
    <w:p w:rsidR="002319C6" w:rsidRPr="009D73CC" w:rsidRDefault="002319C6" w:rsidP="002319C6">
      <w:pPr>
        <w:widowControl w:val="0"/>
        <w:contextualSpacing/>
        <w:jc w:val="both"/>
        <w:rPr>
          <w:rFonts w:ascii="Times New Roman" w:hAnsi="Times New Roman" w:cs="Times New Roman"/>
          <w:sz w:val="20"/>
        </w:rPr>
      </w:pPr>
    </w:p>
    <w:p w:rsidR="002319C6" w:rsidRPr="009D73CC" w:rsidRDefault="002319C6" w:rsidP="002319C6">
      <w:pPr>
        <w:widowControl w:val="0"/>
        <w:numPr>
          <w:ilvl w:val="0"/>
          <w:numId w:val="1"/>
        </w:numPr>
        <w:spacing w:after="0" w:line="240" w:lineRule="auto"/>
        <w:contextualSpacing/>
        <w:jc w:val="both"/>
        <w:rPr>
          <w:rFonts w:ascii="Times New Roman" w:hAnsi="Times New Roman" w:cs="Times New Roman"/>
          <w:sz w:val="20"/>
        </w:rPr>
      </w:pPr>
      <w:r w:rsidRPr="009D73CC">
        <w:rPr>
          <w:rFonts w:ascii="Times New Roman" w:hAnsi="Times New Roman" w:cs="Times New Roman"/>
          <w:sz w:val="20"/>
        </w:rPr>
        <w:t>the scene as a self-contained event</w:t>
      </w:r>
    </w:p>
    <w:p w:rsidR="002319C6" w:rsidRPr="009D73CC" w:rsidRDefault="002319C6" w:rsidP="002319C6">
      <w:pPr>
        <w:widowControl w:val="0"/>
        <w:numPr>
          <w:ilvl w:val="0"/>
          <w:numId w:val="1"/>
        </w:numPr>
        <w:spacing w:after="0" w:line="240" w:lineRule="auto"/>
        <w:contextualSpacing/>
        <w:jc w:val="both"/>
        <w:rPr>
          <w:rFonts w:ascii="Times New Roman" w:hAnsi="Times New Roman" w:cs="Times New Roman"/>
          <w:sz w:val="20"/>
        </w:rPr>
      </w:pPr>
      <w:r w:rsidRPr="009D73CC">
        <w:rPr>
          <w:rFonts w:ascii="Times New Roman" w:hAnsi="Times New Roman" w:cs="Times New Roman"/>
          <w:sz w:val="20"/>
        </w:rPr>
        <w:t>the controlling idea, effect</w:t>
      </w:r>
      <w:r w:rsidR="0009495C">
        <w:rPr>
          <w:rFonts w:ascii="Times New Roman" w:hAnsi="Times New Roman" w:cs="Times New Roman"/>
          <w:sz w:val="20"/>
        </w:rPr>
        <w:t>,</w:t>
      </w:r>
      <w:bookmarkStart w:id="0" w:name="_GoBack"/>
      <w:bookmarkEnd w:id="0"/>
      <w:r w:rsidRPr="009D73CC">
        <w:rPr>
          <w:rFonts w:ascii="Times New Roman" w:hAnsi="Times New Roman" w:cs="Times New Roman"/>
          <w:sz w:val="20"/>
        </w:rPr>
        <w:t xml:space="preserve"> and purpose of the scene </w:t>
      </w:r>
    </w:p>
    <w:p w:rsidR="002319C6" w:rsidRPr="009D73CC" w:rsidRDefault="002319C6" w:rsidP="002319C6">
      <w:pPr>
        <w:widowControl w:val="0"/>
        <w:numPr>
          <w:ilvl w:val="0"/>
          <w:numId w:val="1"/>
        </w:numPr>
        <w:spacing w:after="0" w:line="240" w:lineRule="auto"/>
        <w:contextualSpacing/>
        <w:jc w:val="both"/>
        <w:rPr>
          <w:rFonts w:ascii="Times New Roman" w:hAnsi="Times New Roman" w:cs="Times New Roman"/>
          <w:sz w:val="20"/>
        </w:rPr>
      </w:pPr>
      <w:r w:rsidRPr="009D73CC">
        <w:rPr>
          <w:rFonts w:ascii="Times New Roman" w:hAnsi="Times New Roman" w:cs="Times New Roman"/>
          <w:sz w:val="20"/>
        </w:rPr>
        <w:t>how the author communicates effect and purpose through language, tone and technique (requires close reading)</w:t>
      </w:r>
    </w:p>
    <w:p w:rsidR="002319C6" w:rsidRPr="009D73CC" w:rsidRDefault="002319C6" w:rsidP="002319C6">
      <w:pPr>
        <w:widowControl w:val="0"/>
        <w:numPr>
          <w:ilvl w:val="0"/>
          <w:numId w:val="1"/>
        </w:numPr>
        <w:spacing w:after="0" w:line="240" w:lineRule="auto"/>
        <w:contextualSpacing/>
        <w:jc w:val="both"/>
        <w:rPr>
          <w:rFonts w:ascii="Times New Roman" w:hAnsi="Times New Roman" w:cs="Times New Roman"/>
          <w:sz w:val="20"/>
        </w:rPr>
      </w:pPr>
      <w:r w:rsidRPr="009D73CC">
        <w:rPr>
          <w:rFonts w:ascii="Times New Roman" w:hAnsi="Times New Roman" w:cs="Times New Roman"/>
          <w:sz w:val="20"/>
        </w:rPr>
        <w:t>the scene within the context of the larger work</w:t>
      </w:r>
    </w:p>
    <w:p w:rsidR="002319C6" w:rsidRPr="009D73CC" w:rsidRDefault="002319C6" w:rsidP="002319C6">
      <w:pPr>
        <w:widowControl w:val="0"/>
        <w:numPr>
          <w:ilvl w:val="0"/>
          <w:numId w:val="1"/>
        </w:numPr>
        <w:spacing w:after="0" w:line="240" w:lineRule="auto"/>
        <w:contextualSpacing/>
        <w:jc w:val="both"/>
        <w:rPr>
          <w:rFonts w:ascii="Times New Roman" w:hAnsi="Times New Roman" w:cs="Times New Roman"/>
          <w:sz w:val="20"/>
        </w:rPr>
      </w:pPr>
      <w:r w:rsidRPr="009D73CC">
        <w:rPr>
          <w:rFonts w:ascii="Times New Roman" w:hAnsi="Times New Roman" w:cs="Times New Roman"/>
          <w:sz w:val="20"/>
        </w:rPr>
        <w:t>“unlocking” the piece for study</w:t>
      </w:r>
    </w:p>
    <w:p w:rsidR="002319C6" w:rsidRPr="009D73CC" w:rsidRDefault="002319C6" w:rsidP="002319C6">
      <w:pPr>
        <w:widowControl w:val="0"/>
        <w:ind w:left="720"/>
        <w:contextualSpacing/>
        <w:jc w:val="both"/>
        <w:rPr>
          <w:rFonts w:ascii="Times New Roman" w:hAnsi="Times New Roman" w:cs="Times New Roman"/>
          <w:sz w:val="20"/>
        </w:rPr>
      </w:pPr>
    </w:p>
    <w:p w:rsidR="002319C6" w:rsidRPr="009D73CC" w:rsidRDefault="002319C6" w:rsidP="002319C6">
      <w:pPr>
        <w:widowControl w:val="0"/>
        <w:ind w:firstLine="360"/>
        <w:contextualSpacing/>
        <w:jc w:val="both"/>
        <w:rPr>
          <w:rFonts w:ascii="Times New Roman" w:hAnsi="Times New Roman" w:cs="Times New Roman"/>
          <w:sz w:val="20"/>
        </w:rPr>
      </w:pPr>
      <w:r w:rsidRPr="009D73CC">
        <w:rPr>
          <w:rFonts w:ascii="Times New Roman" w:hAnsi="Times New Roman" w:cs="Times New Roman"/>
          <w:sz w:val="20"/>
        </w:rPr>
        <w:t>In groups of 3, select a scene you consider to be significant from the foll</w:t>
      </w:r>
      <w:r w:rsidR="009D73CC" w:rsidRPr="009D73CC">
        <w:rPr>
          <w:rFonts w:ascii="Times New Roman" w:hAnsi="Times New Roman" w:cs="Times New Roman"/>
          <w:sz w:val="20"/>
        </w:rPr>
        <w:t xml:space="preserve">owing sections of the novel. </w:t>
      </w:r>
      <w:r w:rsidRPr="009D73CC">
        <w:rPr>
          <w:rFonts w:ascii="Times New Roman" w:hAnsi="Times New Roman" w:cs="Times New Roman"/>
          <w:sz w:val="20"/>
        </w:rPr>
        <w:t xml:space="preserve">Each key scene should be examined with at least one detailed close reading of a significant passage, and should be discussed in terms of a reader’s response to it as he/she comes to understand the work as a whole.  Create an appropriate title for your section, and organize your ideas around a clear, central thesis.  </w:t>
      </w:r>
    </w:p>
    <w:p w:rsidR="002319C6" w:rsidRPr="009D73CC" w:rsidRDefault="002319C6" w:rsidP="009D73CC">
      <w:pPr>
        <w:widowControl w:val="0"/>
        <w:contextualSpacing/>
        <w:jc w:val="both"/>
        <w:rPr>
          <w:rFonts w:ascii="Times New Roman" w:hAnsi="Times New Roman" w:cs="Times New Roman"/>
          <w:sz w:val="20"/>
        </w:rPr>
      </w:pPr>
      <w:r w:rsidRPr="009D73CC">
        <w:rPr>
          <w:rFonts w:ascii="Times New Roman" w:hAnsi="Times New Roman" w:cs="Times New Roman"/>
          <w:sz w:val="20"/>
        </w:rPr>
        <w:t xml:space="preserve">Remember: all work should be original &amp; collaborative – use your reading journals to guide your responses.   </w:t>
      </w:r>
      <w:r w:rsidRPr="009D73CC">
        <w:rPr>
          <w:rFonts w:ascii="Times New Roman" w:hAnsi="Times New Roman" w:cs="Times New Roman"/>
          <w:b/>
          <w:sz w:val="20"/>
        </w:rPr>
        <w:t>No Secondary Sources</w:t>
      </w:r>
      <w:r w:rsidRPr="009D73CC">
        <w:rPr>
          <w:rFonts w:ascii="Times New Roman" w:hAnsi="Times New Roman" w:cs="Times New Roman"/>
          <w:sz w:val="20"/>
        </w:rPr>
        <w:t>.  Twenty-twenty-five minutes should do.</w:t>
      </w:r>
    </w:p>
    <w:p w:rsidR="002319C6" w:rsidRPr="009D73CC" w:rsidRDefault="002319C6" w:rsidP="002319C6">
      <w:pPr>
        <w:numPr>
          <w:ilvl w:val="0"/>
          <w:numId w:val="2"/>
        </w:numPr>
        <w:spacing w:after="0" w:line="240" w:lineRule="auto"/>
        <w:rPr>
          <w:rFonts w:ascii="Times New Roman" w:hAnsi="Times New Roman" w:cs="Times New Roman"/>
          <w:sz w:val="20"/>
        </w:rPr>
      </w:pPr>
      <w:r w:rsidRPr="009D73CC">
        <w:rPr>
          <w:rFonts w:ascii="Times New Roman" w:hAnsi="Times New Roman" w:cs="Times New Roman"/>
          <w:sz w:val="20"/>
        </w:rPr>
        <w:t>Ch. 1-2</w:t>
      </w:r>
    </w:p>
    <w:p w:rsidR="002319C6" w:rsidRPr="009D73CC" w:rsidRDefault="002319C6" w:rsidP="002319C6">
      <w:pPr>
        <w:numPr>
          <w:ilvl w:val="0"/>
          <w:numId w:val="2"/>
        </w:numPr>
        <w:spacing w:after="0" w:line="240" w:lineRule="auto"/>
        <w:rPr>
          <w:rFonts w:ascii="Times New Roman" w:hAnsi="Times New Roman" w:cs="Times New Roman"/>
          <w:sz w:val="20"/>
        </w:rPr>
      </w:pPr>
      <w:r w:rsidRPr="009D73CC">
        <w:rPr>
          <w:rFonts w:ascii="Times New Roman" w:hAnsi="Times New Roman" w:cs="Times New Roman"/>
          <w:sz w:val="20"/>
        </w:rPr>
        <w:t>Ch. 3-4</w:t>
      </w:r>
    </w:p>
    <w:p w:rsidR="002319C6" w:rsidRPr="009D73CC" w:rsidRDefault="002319C6" w:rsidP="002319C6">
      <w:pPr>
        <w:numPr>
          <w:ilvl w:val="0"/>
          <w:numId w:val="2"/>
        </w:numPr>
        <w:spacing w:after="0" w:line="240" w:lineRule="auto"/>
        <w:rPr>
          <w:rFonts w:ascii="Times New Roman" w:hAnsi="Times New Roman" w:cs="Times New Roman"/>
          <w:sz w:val="20"/>
        </w:rPr>
      </w:pPr>
      <w:r w:rsidRPr="009D73CC">
        <w:rPr>
          <w:rFonts w:ascii="Times New Roman" w:hAnsi="Times New Roman" w:cs="Times New Roman"/>
          <w:sz w:val="20"/>
        </w:rPr>
        <w:t>Ch. 5-6</w:t>
      </w:r>
    </w:p>
    <w:p w:rsidR="002319C6" w:rsidRPr="009D73CC" w:rsidRDefault="002319C6" w:rsidP="002319C6">
      <w:pPr>
        <w:numPr>
          <w:ilvl w:val="0"/>
          <w:numId w:val="2"/>
        </w:numPr>
        <w:spacing w:after="0" w:line="240" w:lineRule="auto"/>
        <w:rPr>
          <w:rFonts w:ascii="Times New Roman" w:hAnsi="Times New Roman" w:cs="Times New Roman"/>
          <w:sz w:val="20"/>
        </w:rPr>
      </w:pPr>
      <w:r w:rsidRPr="009D73CC">
        <w:rPr>
          <w:rFonts w:ascii="Times New Roman" w:hAnsi="Times New Roman" w:cs="Times New Roman"/>
          <w:sz w:val="20"/>
        </w:rPr>
        <w:t>Ch. 7-8</w:t>
      </w:r>
    </w:p>
    <w:p w:rsidR="002319C6" w:rsidRPr="009D73CC" w:rsidRDefault="002319C6" w:rsidP="002319C6">
      <w:pPr>
        <w:numPr>
          <w:ilvl w:val="0"/>
          <w:numId w:val="2"/>
        </w:numPr>
        <w:spacing w:after="0" w:line="240" w:lineRule="auto"/>
        <w:rPr>
          <w:rFonts w:ascii="Times New Roman" w:hAnsi="Times New Roman" w:cs="Times New Roman"/>
          <w:sz w:val="20"/>
        </w:rPr>
      </w:pPr>
      <w:r w:rsidRPr="009D73CC">
        <w:rPr>
          <w:rFonts w:ascii="Times New Roman" w:hAnsi="Times New Roman" w:cs="Times New Roman"/>
          <w:sz w:val="20"/>
        </w:rPr>
        <w:t>Ch. 9-10</w:t>
      </w:r>
    </w:p>
    <w:p w:rsidR="002319C6" w:rsidRPr="009D73CC" w:rsidRDefault="002319C6" w:rsidP="002319C6">
      <w:pPr>
        <w:numPr>
          <w:ilvl w:val="0"/>
          <w:numId w:val="2"/>
        </w:numPr>
        <w:spacing w:after="0" w:line="240" w:lineRule="auto"/>
        <w:rPr>
          <w:rFonts w:ascii="Times New Roman" w:hAnsi="Times New Roman" w:cs="Times New Roman"/>
          <w:sz w:val="20"/>
        </w:rPr>
      </w:pPr>
      <w:r w:rsidRPr="009D73CC">
        <w:rPr>
          <w:rFonts w:ascii="Times New Roman" w:hAnsi="Times New Roman" w:cs="Times New Roman"/>
          <w:sz w:val="20"/>
        </w:rPr>
        <w:t>Ch. 11-12</w:t>
      </w:r>
    </w:p>
    <w:p w:rsidR="002319C6" w:rsidRPr="009D73CC" w:rsidRDefault="002319C6" w:rsidP="002319C6">
      <w:pPr>
        <w:numPr>
          <w:ilvl w:val="0"/>
          <w:numId w:val="2"/>
        </w:numPr>
        <w:spacing w:after="0" w:line="240" w:lineRule="auto"/>
        <w:rPr>
          <w:rFonts w:ascii="Times New Roman" w:hAnsi="Times New Roman" w:cs="Times New Roman"/>
          <w:sz w:val="20"/>
        </w:rPr>
      </w:pPr>
      <w:r w:rsidRPr="009D73CC">
        <w:rPr>
          <w:rFonts w:ascii="Times New Roman" w:hAnsi="Times New Roman" w:cs="Times New Roman"/>
          <w:sz w:val="20"/>
        </w:rPr>
        <w:t>Ch. 13-14</w:t>
      </w:r>
    </w:p>
    <w:p w:rsidR="002319C6" w:rsidRPr="009D73CC" w:rsidRDefault="002319C6" w:rsidP="002319C6">
      <w:pPr>
        <w:numPr>
          <w:ilvl w:val="0"/>
          <w:numId w:val="2"/>
        </w:numPr>
        <w:spacing w:after="0" w:line="240" w:lineRule="auto"/>
        <w:rPr>
          <w:rFonts w:ascii="Times New Roman" w:hAnsi="Times New Roman" w:cs="Times New Roman"/>
          <w:sz w:val="20"/>
        </w:rPr>
      </w:pPr>
      <w:r w:rsidRPr="009D73CC">
        <w:rPr>
          <w:rFonts w:ascii="Times New Roman" w:hAnsi="Times New Roman" w:cs="Times New Roman"/>
          <w:sz w:val="20"/>
        </w:rPr>
        <w:t>Ch. 15-16</w:t>
      </w:r>
    </w:p>
    <w:p w:rsidR="002319C6" w:rsidRPr="009D73CC" w:rsidRDefault="002319C6" w:rsidP="002319C6">
      <w:pPr>
        <w:numPr>
          <w:ilvl w:val="0"/>
          <w:numId w:val="2"/>
        </w:numPr>
        <w:spacing w:after="0" w:line="240" w:lineRule="auto"/>
        <w:rPr>
          <w:rFonts w:ascii="Times New Roman" w:hAnsi="Times New Roman" w:cs="Times New Roman"/>
          <w:sz w:val="20"/>
        </w:rPr>
      </w:pPr>
      <w:r w:rsidRPr="009D73CC">
        <w:rPr>
          <w:rFonts w:ascii="Times New Roman" w:hAnsi="Times New Roman" w:cs="Times New Roman"/>
          <w:sz w:val="20"/>
        </w:rPr>
        <w:t>Ch. 17-20</w:t>
      </w:r>
    </w:p>
    <w:p w:rsidR="002319C6" w:rsidRPr="009D73CC" w:rsidRDefault="002319C6" w:rsidP="002319C6">
      <w:pPr>
        <w:spacing w:after="0" w:line="240" w:lineRule="auto"/>
        <w:rPr>
          <w:rFonts w:ascii="Times New Roman" w:hAnsi="Times New Roman" w:cs="Times New Roman"/>
          <w:sz w:val="20"/>
        </w:rPr>
      </w:pPr>
    </w:p>
    <w:p w:rsidR="009D73CC" w:rsidRPr="009D73CC" w:rsidRDefault="002319C6" w:rsidP="009D73CC">
      <w:pPr>
        <w:spacing w:after="0" w:line="240" w:lineRule="auto"/>
        <w:rPr>
          <w:rFonts w:ascii="Times New Roman" w:hAnsi="Times New Roman" w:cs="Times New Roman"/>
          <w:b/>
          <w:sz w:val="20"/>
        </w:rPr>
      </w:pPr>
      <w:r w:rsidRPr="009D73CC">
        <w:rPr>
          <w:rFonts w:ascii="Times New Roman" w:hAnsi="Times New Roman" w:cs="Times New Roman"/>
          <w:b/>
          <w:sz w:val="20"/>
        </w:rPr>
        <w:t>Seminar Expectations</w:t>
      </w:r>
    </w:p>
    <w:p w:rsidR="002319C6" w:rsidRPr="009D73CC" w:rsidRDefault="002319C6" w:rsidP="002319C6">
      <w:pPr>
        <w:rPr>
          <w:rFonts w:ascii="Times New Roman" w:hAnsi="Times New Roman" w:cs="Times New Roman"/>
          <w:b/>
          <w:sz w:val="20"/>
        </w:rPr>
      </w:pPr>
      <w:r w:rsidRPr="009D73CC">
        <w:rPr>
          <w:rFonts w:ascii="Times New Roman" w:hAnsi="Times New Roman" w:cs="Times New Roman"/>
          <w:sz w:val="20"/>
        </w:rPr>
        <w:t>A seminar is a discussion-based exchange of ideas and knowledge about a work of literature, or an extract from a larger work.  Because of this, we approach seminar preparation not as a lecture, an essay/report “reading”, nor an “info-dump”.  We must plan to allow the free-flow of ideas between presenters and audience.</w:t>
      </w:r>
    </w:p>
    <w:p w:rsidR="002319C6" w:rsidRPr="009D73CC" w:rsidRDefault="002319C6" w:rsidP="009D73CC">
      <w:pPr>
        <w:spacing w:after="0"/>
        <w:rPr>
          <w:rFonts w:ascii="Times New Roman" w:hAnsi="Times New Roman" w:cs="Times New Roman"/>
          <w:b/>
          <w:sz w:val="20"/>
          <w:u w:val="single"/>
        </w:rPr>
      </w:pPr>
      <w:r w:rsidRPr="009D73CC">
        <w:rPr>
          <w:rFonts w:ascii="Times New Roman" w:hAnsi="Times New Roman" w:cs="Times New Roman"/>
          <w:b/>
          <w:sz w:val="20"/>
          <w:u w:val="single"/>
        </w:rPr>
        <w:t>Suggestions</w:t>
      </w:r>
    </w:p>
    <w:p w:rsidR="002319C6" w:rsidRPr="009D73CC" w:rsidRDefault="002319C6" w:rsidP="002319C6">
      <w:pPr>
        <w:numPr>
          <w:ilvl w:val="0"/>
          <w:numId w:val="3"/>
        </w:numPr>
        <w:spacing w:after="0" w:line="240" w:lineRule="auto"/>
        <w:rPr>
          <w:rFonts w:ascii="Times New Roman" w:hAnsi="Times New Roman" w:cs="Times New Roman"/>
          <w:sz w:val="20"/>
        </w:rPr>
      </w:pPr>
      <w:r w:rsidRPr="009D73CC">
        <w:rPr>
          <w:rFonts w:ascii="Times New Roman" w:hAnsi="Times New Roman" w:cs="Times New Roman"/>
          <w:sz w:val="20"/>
        </w:rPr>
        <w:t>Your topic should be approached analytically (i.e. it should be developed around a unifying thesis, a plan of development, thorough supporting evidence from the primary source, and a conclusion based on the argument and evidence presented).</w:t>
      </w:r>
    </w:p>
    <w:p w:rsidR="002319C6" w:rsidRPr="009D73CC" w:rsidRDefault="002319C6" w:rsidP="002319C6">
      <w:pPr>
        <w:numPr>
          <w:ilvl w:val="0"/>
          <w:numId w:val="3"/>
        </w:numPr>
        <w:spacing w:after="0" w:line="240" w:lineRule="auto"/>
        <w:rPr>
          <w:rFonts w:ascii="Times New Roman" w:hAnsi="Times New Roman" w:cs="Times New Roman"/>
          <w:sz w:val="20"/>
        </w:rPr>
      </w:pPr>
      <w:r w:rsidRPr="009D73CC">
        <w:rPr>
          <w:rFonts w:ascii="Times New Roman" w:hAnsi="Times New Roman" w:cs="Times New Roman"/>
          <w:sz w:val="20"/>
        </w:rPr>
        <w:t>Divide your topic up into meaningful sections, especially if you are assessing a Key Scene.  Don’t merely focus on plot; consider also onomastic and symbolic representations; biblical and mythological references; parallel figures in other texts, etc.</w:t>
      </w:r>
    </w:p>
    <w:p w:rsidR="002319C6" w:rsidRPr="009D73CC" w:rsidRDefault="002319C6" w:rsidP="002319C6">
      <w:pPr>
        <w:numPr>
          <w:ilvl w:val="0"/>
          <w:numId w:val="3"/>
        </w:numPr>
        <w:spacing w:after="0" w:line="240" w:lineRule="auto"/>
        <w:rPr>
          <w:rFonts w:ascii="Times New Roman" w:hAnsi="Times New Roman" w:cs="Times New Roman"/>
          <w:sz w:val="20"/>
        </w:rPr>
      </w:pPr>
      <w:r w:rsidRPr="009D73CC">
        <w:rPr>
          <w:rFonts w:ascii="Times New Roman" w:hAnsi="Times New Roman" w:cs="Times New Roman"/>
          <w:sz w:val="20"/>
        </w:rPr>
        <w:t xml:space="preserve">Use the literary text as your primary focus.  </w:t>
      </w:r>
      <w:r w:rsidRPr="009D73CC">
        <w:rPr>
          <w:rFonts w:ascii="Times New Roman" w:hAnsi="Times New Roman" w:cs="Times New Roman"/>
          <w:b/>
          <w:sz w:val="20"/>
          <w:u w:val="single"/>
        </w:rPr>
        <w:t xml:space="preserve">Remember the three </w:t>
      </w:r>
      <w:proofErr w:type="spellStart"/>
      <w:r w:rsidRPr="009D73CC">
        <w:rPr>
          <w:rFonts w:ascii="Times New Roman" w:hAnsi="Times New Roman" w:cs="Times New Roman"/>
          <w:b/>
          <w:sz w:val="20"/>
          <w:u w:val="single"/>
        </w:rPr>
        <w:t>Es</w:t>
      </w:r>
      <w:proofErr w:type="spellEnd"/>
      <w:r w:rsidRPr="009D73CC">
        <w:rPr>
          <w:rFonts w:ascii="Times New Roman" w:hAnsi="Times New Roman" w:cs="Times New Roman"/>
          <w:b/>
          <w:sz w:val="20"/>
          <w:u w:val="single"/>
        </w:rPr>
        <w:t>: Engage, Explore, Extend</w:t>
      </w:r>
      <w:r w:rsidRPr="009D73CC">
        <w:rPr>
          <w:rFonts w:ascii="Times New Roman" w:hAnsi="Times New Roman" w:cs="Times New Roman"/>
          <w:b/>
          <w:sz w:val="20"/>
        </w:rPr>
        <w:t xml:space="preserve">.  </w:t>
      </w:r>
      <w:r w:rsidRPr="009D73CC">
        <w:rPr>
          <w:rFonts w:ascii="Times New Roman" w:hAnsi="Times New Roman" w:cs="Times New Roman"/>
          <w:sz w:val="20"/>
        </w:rPr>
        <w:t>Ensure that you have THREE significant passages that can be given to detailed close reading with the class.  The passages should be considered microcosms of both the larger work and the author’s world view.  Finally, the passages should represent significant observations on the character and/or on the overall theme of the novel or novel section</w:t>
      </w:r>
    </w:p>
    <w:p w:rsidR="002319C6" w:rsidRPr="009D73CC" w:rsidRDefault="002319C6" w:rsidP="002319C6">
      <w:pPr>
        <w:numPr>
          <w:ilvl w:val="0"/>
          <w:numId w:val="3"/>
        </w:numPr>
        <w:spacing w:after="0" w:line="240" w:lineRule="auto"/>
        <w:rPr>
          <w:rFonts w:ascii="Times New Roman" w:hAnsi="Times New Roman" w:cs="Times New Roman"/>
          <w:sz w:val="20"/>
        </w:rPr>
      </w:pPr>
      <w:r w:rsidRPr="009D73CC">
        <w:rPr>
          <w:rFonts w:ascii="Times New Roman" w:hAnsi="Times New Roman" w:cs="Times New Roman"/>
          <w:sz w:val="20"/>
        </w:rPr>
        <w:t xml:space="preserve">Give yourselves 20-25 minutes (times will vary) to give the topic a thorough examination.  Use your time wisely, and do not let one person in the audience or in the presenting group bankrupt your time allotment.  ORGANIZE AND REHEARSE!!  Avoid running over more than 5 minutes; avoid being too brief.  </w:t>
      </w:r>
    </w:p>
    <w:p w:rsidR="002319C6" w:rsidRPr="009D73CC" w:rsidRDefault="002319C6" w:rsidP="002319C6">
      <w:pPr>
        <w:numPr>
          <w:ilvl w:val="0"/>
          <w:numId w:val="3"/>
        </w:numPr>
        <w:spacing w:after="0" w:line="240" w:lineRule="auto"/>
        <w:rPr>
          <w:rFonts w:ascii="Times New Roman" w:hAnsi="Times New Roman" w:cs="Times New Roman"/>
          <w:sz w:val="20"/>
        </w:rPr>
      </w:pPr>
      <w:r w:rsidRPr="009D73CC">
        <w:rPr>
          <w:rFonts w:ascii="Times New Roman" w:hAnsi="Times New Roman" w:cs="Times New Roman"/>
          <w:sz w:val="20"/>
        </w:rPr>
        <w:t>Create 5-7 questions which, when asked and answered, will cover the main points of your seminar.</w:t>
      </w:r>
    </w:p>
    <w:p w:rsidR="002319C6" w:rsidRPr="009D73CC" w:rsidRDefault="002319C6" w:rsidP="002319C6">
      <w:pPr>
        <w:numPr>
          <w:ilvl w:val="0"/>
          <w:numId w:val="3"/>
        </w:numPr>
        <w:spacing w:after="0" w:line="240" w:lineRule="auto"/>
        <w:rPr>
          <w:rFonts w:ascii="Times New Roman" w:hAnsi="Times New Roman" w:cs="Times New Roman"/>
          <w:sz w:val="20"/>
        </w:rPr>
      </w:pPr>
      <w:r w:rsidRPr="009D73CC">
        <w:rPr>
          <w:rFonts w:ascii="Times New Roman" w:hAnsi="Times New Roman" w:cs="Times New Roman"/>
          <w:sz w:val="20"/>
        </w:rPr>
        <w:t>Use visuals whenever possible, but do not become reliant on them.</w:t>
      </w:r>
    </w:p>
    <w:p w:rsidR="002319C6" w:rsidRPr="009D73CC" w:rsidRDefault="002319C6" w:rsidP="002319C6">
      <w:pPr>
        <w:numPr>
          <w:ilvl w:val="0"/>
          <w:numId w:val="3"/>
        </w:numPr>
        <w:spacing w:after="0" w:line="240" w:lineRule="auto"/>
        <w:rPr>
          <w:rFonts w:ascii="Times New Roman" w:hAnsi="Times New Roman" w:cs="Times New Roman"/>
          <w:sz w:val="20"/>
        </w:rPr>
      </w:pPr>
      <w:r w:rsidRPr="009D73CC">
        <w:rPr>
          <w:rFonts w:ascii="Times New Roman" w:hAnsi="Times New Roman" w:cs="Times New Roman"/>
          <w:sz w:val="20"/>
        </w:rPr>
        <w:t>Your seminar will be successful if it demonstrates the following characteristics:</w:t>
      </w:r>
    </w:p>
    <w:p w:rsidR="002319C6" w:rsidRPr="009D73CC" w:rsidRDefault="002319C6" w:rsidP="002319C6">
      <w:pPr>
        <w:numPr>
          <w:ilvl w:val="1"/>
          <w:numId w:val="3"/>
        </w:numPr>
        <w:spacing w:after="0" w:line="240" w:lineRule="auto"/>
        <w:rPr>
          <w:rFonts w:ascii="Times New Roman" w:hAnsi="Times New Roman" w:cs="Times New Roman"/>
          <w:sz w:val="20"/>
        </w:rPr>
      </w:pPr>
      <w:r w:rsidRPr="009D73CC">
        <w:rPr>
          <w:rFonts w:ascii="Times New Roman" w:hAnsi="Times New Roman" w:cs="Times New Roman"/>
          <w:sz w:val="20"/>
        </w:rPr>
        <w:t xml:space="preserve">Thorough knowledge of the work and/or extract, as well as its context </w:t>
      </w:r>
    </w:p>
    <w:p w:rsidR="002319C6" w:rsidRPr="009D73CC" w:rsidRDefault="002319C6" w:rsidP="002319C6">
      <w:pPr>
        <w:numPr>
          <w:ilvl w:val="1"/>
          <w:numId w:val="3"/>
        </w:numPr>
        <w:spacing w:after="0" w:line="240" w:lineRule="auto"/>
        <w:rPr>
          <w:rFonts w:ascii="Times New Roman" w:hAnsi="Times New Roman" w:cs="Times New Roman"/>
          <w:sz w:val="20"/>
        </w:rPr>
      </w:pPr>
      <w:r w:rsidRPr="009D73CC">
        <w:rPr>
          <w:rFonts w:ascii="Times New Roman" w:hAnsi="Times New Roman" w:cs="Times New Roman"/>
          <w:sz w:val="20"/>
        </w:rPr>
        <w:t>Exemplary interpretation, critical analysis, understanding of effect, and of supporting evidence from the text</w:t>
      </w:r>
    </w:p>
    <w:p w:rsidR="002319C6" w:rsidRPr="009D73CC" w:rsidRDefault="002319C6" w:rsidP="002319C6">
      <w:pPr>
        <w:numPr>
          <w:ilvl w:val="1"/>
          <w:numId w:val="3"/>
        </w:numPr>
        <w:spacing w:after="0" w:line="240" w:lineRule="auto"/>
        <w:rPr>
          <w:rFonts w:ascii="Times New Roman" w:hAnsi="Times New Roman" w:cs="Times New Roman"/>
          <w:sz w:val="20"/>
        </w:rPr>
      </w:pPr>
      <w:r w:rsidRPr="009D73CC">
        <w:rPr>
          <w:rFonts w:ascii="Times New Roman" w:hAnsi="Times New Roman" w:cs="Times New Roman"/>
          <w:sz w:val="20"/>
        </w:rPr>
        <w:t>Clear and thorough documentation of sources when used</w:t>
      </w:r>
    </w:p>
    <w:p w:rsidR="002319C6" w:rsidRPr="009D73CC" w:rsidRDefault="002319C6" w:rsidP="002319C6">
      <w:pPr>
        <w:numPr>
          <w:ilvl w:val="1"/>
          <w:numId w:val="3"/>
        </w:numPr>
        <w:spacing w:after="0" w:line="240" w:lineRule="auto"/>
        <w:rPr>
          <w:rFonts w:ascii="Times New Roman" w:hAnsi="Times New Roman" w:cs="Times New Roman"/>
          <w:sz w:val="20"/>
        </w:rPr>
      </w:pPr>
      <w:r w:rsidRPr="009D73CC">
        <w:rPr>
          <w:rFonts w:ascii="Times New Roman" w:hAnsi="Times New Roman" w:cs="Times New Roman"/>
          <w:sz w:val="20"/>
        </w:rPr>
        <w:t>Effective structure and organization of the seminar, especially regarding personal engagement, extension of the ideas into the wider world, and management of the overall discussion.</w:t>
      </w:r>
    </w:p>
    <w:p w:rsidR="002319C6" w:rsidRPr="009D73CC" w:rsidRDefault="002319C6" w:rsidP="002319C6">
      <w:pPr>
        <w:widowControl w:val="0"/>
        <w:contextualSpacing/>
        <w:rPr>
          <w:rFonts w:ascii="Times New Roman" w:hAnsi="Times New Roman" w:cs="Times New Roman"/>
          <w:b/>
          <w:sz w:val="20"/>
        </w:rPr>
      </w:pPr>
    </w:p>
    <w:p w:rsidR="002319C6" w:rsidRPr="009D73CC" w:rsidRDefault="002319C6" w:rsidP="002319C6">
      <w:pPr>
        <w:widowControl w:val="0"/>
        <w:contextualSpacing/>
        <w:jc w:val="center"/>
        <w:rPr>
          <w:rFonts w:ascii="Times New Roman" w:hAnsi="Times New Roman" w:cs="Times New Roman"/>
          <w:b/>
          <w:sz w:val="20"/>
        </w:rPr>
      </w:pPr>
      <w:r w:rsidRPr="009D73CC">
        <w:rPr>
          <w:rFonts w:ascii="Times New Roman" w:hAnsi="Times New Roman" w:cs="Times New Roman"/>
          <w:b/>
          <w:sz w:val="20"/>
        </w:rPr>
        <w:t xml:space="preserve">DO NOT READ DIRECTLY FROM A PREPARED SCRIPT OR PARAGRAPH-FORM SUMMARY! </w:t>
      </w:r>
    </w:p>
    <w:p w:rsidR="002319C6" w:rsidRPr="009D73CC" w:rsidRDefault="002319C6" w:rsidP="002319C6">
      <w:pPr>
        <w:spacing w:line="240" w:lineRule="auto"/>
        <w:contextualSpacing/>
        <w:rPr>
          <w:rFonts w:ascii="Times New Roman" w:hAnsi="Times New Roman" w:cs="Times New Roman"/>
        </w:rPr>
      </w:pPr>
    </w:p>
    <w:p w:rsidR="002319C6" w:rsidRPr="009D73CC" w:rsidRDefault="002319C6" w:rsidP="002319C6">
      <w:pPr>
        <w:spacing w:line="240" w:lineRule="auto"/>
        <w:contextualSpacing/>
        <w:rPr>
          <w:rFonts w:ascii="Times New Roman" w:hAnsi="Times New Roman" w:cs="Times New Roman"/>
        </w:rPr>
      </w:pPr>
    </w:p>
    <w:tbl>
      <w:tblPr>
        <w:tblpPr w:leftFromText="180" w:rightFromText="180" w:vertAnchor="text" w:horzAnchor="margin" w:tblpY="87"/>
        <w:tblW w:w="10831" w:type="dxa"/>
        <w:tblCellMar>
          <w:left w:w="0" w:type="dxa"/>
          <w:right w:w="0" w:type="dxa"/>
        </w:tblCellMar>
        <w:tblLook w:val="04A0" w:firstRow="1" w:lastRow="0" w:firstColumn="1" w:lastColumn="0" w:noHBand="0" w:noVBand="1"/>
      </w:tblPr>
      <w:tblGrid>
        <w:gridCol w:w="6012"/>
        <w:gridCol w:w="992"/>
        <w:gridCol w:w="992"/>
        <w:gridCol w:w="993"/>
        <w:gridCol w:w="992"/>
        <w:gridCol w:w="850"/>
      </w:tblGrid>
      <w:tr w:rsidR="009D73CC" w:rsidRPr="009D73CC" w:rsidTr="003B62EB">
        <w:trPr>
          <w:trHeight w:val="461"/>
        </w:trPr>
        <w:tc>
          <w:tcPr>
            <w:tcW w:w="6012"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rsidR="002319C6" w:rsidRPr="009D73CC" w:rsidRDefault="002319C6" w:rsidP="003B62EB">
            <w:pPr>
              <w:widowControl w:val="0"/>
              <w:spacing w:after="0"/>
              <w:jc w:val="center"/>
              <w:rPr>
                <w:rFonts w:ascii="Times New Roman" w:hAnsi="Times New Roman" w:cs="Times New Roman"/>
                <w:b/>
                <w:bCs/>
                <w:sz w:val="18"/>
              </w:rPr>
            </w:pPr>
            <w:r w:rsidRPr="009D73CC">
              <w:rPr>
                <w:rFonts w:ascii="Times New Roman" w:hAnsi="Times New Roman" w:cs="Times New Roman"/>
                <w:b/>
                <w:bCs/>
                <w:sz w:val="18"/>
              </w:rPr>
              <w:lastRenderedPageBreak/>
              <w:t>Criteria</w:t>
            </w:r>
          </w:p>
        </w:tc>
        <w:tc>
          <w:tcPr>
            <w:tcW w:w="992" w:type="dxa"/>
            <w:tcBorders>
              <w:top w:val="single" w:sz="18" w:space="0" w:color="000000"/>
              <w:left w:val="single" w:sz="8" w:space="0" w:color="000000"/>
              <w:bottom w:val="single" w:sz="2"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3B62EB">
            <w:pPr>
              <w:widowControl w:val="0"/>
              <w:spacing w:after="0" w:line="240" w:lineRule="auto"/>
              <w:jc w:val="center"/>
              <w:rPr>
                <w:rFonts w:ascii="Times New Roman" w:hAnsi="Times New Roman" w:cs="Times New Roman"/>
                <w:b/>
                <w:bCs/>
                <w:sz w:val="16"/>
              </w:rPr>
            </w:pPr>
            <w:r w:rsidRPr="009D73CC">
              <w:rPr>
                <w:rFonts w:ascii="Times New Roman" w:hAnsi="Times New Roman" w:cs="Times New Roman"/>
                <w:b/>
                <w:bCs/>
                <w:sz w:val="16"/>
              </w:rPr>
              <w:t>Level 1</w:t>
            </w:r>
          </w:p>
          <w:p w:rsidR="002319C6" w:rsidRPr="009D73CC" w:rsidRDefault="002319C6" w:rsidP="003B62EB">
            <w:pPr>
              <w:widowControl w:val="0"/>
              <w:spacing w:after="0" w:line="240" w:lineRule="auto"/>
              <w:jc w:val="center"/>
              <w:rPr>
                <w:rFonts w:ascii="Times New Roman" w:hAnsi="Times New Roman" w:cs="Times New Roman"/>
                <w:b/>
                <w:bCs/>
                <w:sz w:val="16"/>
              </w:rPr>
            </w:pPr>
            <w:r w:rsidRPr="009D73CC">
              <w:rPr>
                <w:rFonts w:ascii="Times New Roman" w:hAnsi="Times New Roman" w:cs="Times New Roman"/>
                <w:b/>
                <w:bCs/>
                <w:sz w:val="16"/>
              </w:rPr>
              <w:t>10-11</w:t>
            </w:r>
          </w:p>
        </w:tc>
        <w:tc>
          <w:tcPr>
            <w:tcW w:w="992" w:type="dxa"/>
            <w:tcBorders>
              <w:top w:val="single" w:sz="18" w:space="0" w:color="000000"/>
              <w:left w:val="single" w:sz="8" w:space="0" w:color="000000"/>
              <w:bottom w:val="single" w:sz="2"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3B62EB">
            <w:pPr>
              <w:widowControl w:val="0"/>
              <w:spacing w:after="0" w:line="240" w:lineRule="auto"/>
              <w:jc w:val="center"/>
              <w:rPr>
                <w:rFonts w:ascii="Times New Roman" w:hAnsi="Times New Roman" w:cs="Times New Roman"/>
                <w:b/>
                <w:bCs/>
                <w:sz w:val="16"/>
              </w:rPr>
            </w:pPr>
            <w:r w:rsidRPr="009D73CC">
              <w:rPr>
                <w:rFonts w:ascii="Times New Roman" w:hAnsi="Times New Roman" w:cs="Times New Roman"/>
                <w:b/>
                <w:bCs/>
                <w:sz w:val="16"/>
              </w:rPr>
              <w:t>Level 2</w:t>
            </w:r>
          </w:p>
          <w:p w:rsidR="002319C6" w:rsidRPr="009D73CC" w:rsidRDefault="002319C6" w:rsidP="003B62EB">
            <w:pPr>
              <w:widowControl w:val="0"/>
              <w:spacing w:after="0" w:line="240" w:lineRule="auto"/>
              <w:jc w:val="center"/>
              <w:rPr>
                <w:rFonts w:ascii="Times New Roman" w:hAnsi="Times New Roman" w:cs="Times New Roman"/>
                <w:b/>
                <w:bCs/>
                <w:sz w:val="16"/>
              </w:rPr>
            </w:pPr>
            <w:r w:rsidRPr="009D73CC">
              <w:rPr>
                <w:rFonts w:ascii="Times New Roman" w:hAnsi="Times New Roman" w:cs="Times New Roman"/>
                <w:b/>
                <w:bCs/>
                <w:sz w:val="16"/>
              </w:rPr>
              <w:t>12-13</w:t>
            </w:r>
          </w:p>
        </w:tc>
        <w:tc>
          <w:tcPr>
            <w:tcW w:w="993" w:type="dxa"/>
            <w:tcBorders>
              <w:top w:val="single" w:sz="18" w:space="0" w:color="000000"/>
              <w:left w:val="single" w:sz="8" w:space="0" w:color="000000"/>
              <w:bottom w:val="single" w:sz="2"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3B62EB">
            <w:pPr>
              <w:widowControl w:val="0"/>
              <w:spacing w:after="0" w:line="240" w:lineRule="auto"/>
              <w:jc w:val="center"/>
              <w:rPr>
                <w:rFonts w:ascii="Times New Roman" w:hAnsi="Times New Roman" w:cs="Times New Roman"/>
                <w:b/>
                <w:bCs/>
                <w:sz w:val="16"/>
              </w:rPr>
            </w:pPr>
            <w:r w:rsidRPr="009D73CC">
              <w:rPr>
                <w:rFonts w:ascii="Times New Roman" w:hAnsi="Times New Roman" w:cs="Times New Roman"/>
                <w:b/>
                <w:bCs/>
                <w:sz w:val="16"/>
              </w:rPr>
              <w:t>Level 3</w:t>
            </w:r>
          </w:p>
          <w:p w:rsidR="002319C6" w:rsidRPr="009D73CC" w:rsidRDefault="002319C6" w:rsidP="003B62EB">
            <w:pPr>
              <w:widowControl w:val="0"/>
              <w:spacing w:after="0" w:line="240" w:lineRule="auto"/>
              <w:jc w:val="center"/>
              <w:rPr>
                <w:rFonts w:ascii="Times New Roman" w:hAnsi="Times New Roman" w:cs="Times New Roman"/>
                <w:b/>
                <w:bCs/>
                <w:sz w:val="16"/>
              </w:rPr>
            </w:pPr>
            <w:r w:rsidRPr="009D73CC">
              <w:rPr>
                <w:rFonts w:ascii="Times New Roman" w:hAnsi="Times New Roman" w:cs="Times New Roman"/>
                <w:b/>
                <w:bCs/>
                <w:sz w:val="16"/>
              </w:rPr>
              <w:t>14-15</w:t>
            </w:r>
          </w:p>
        </w:tc>
        <w:tc>
          <w:tcPr>
            <w:tcW w:w="992" w:type="dxa"/>
            <w:tcBorders>
              <w:top w:val="single" w:sz="18" w:space="0" w:color="000000"/>
              <w:left w:val="single" w:sz="8" w:space="0" w:color="000000"/>
              <w:bottom w:val="single" w:sz="2"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3B62EB">
            <w:pPr>
              <w:widowControl w:val="0"/>
              <w:spacing w:after="0" w:line="240" w:lineRule="auto"/>
              <w:jc w:val="center"/>
              <w:rPr>
                <w:rFonts w:ascii="Times New Roman" w:hAnsi="Times New Roman" w:cs="Times New Roman"/>
                <w:b/>
                <w:bCs/>
                <w:sz w:val="16"/>
              </w:rPr>
            </w:pPr>
            <w:r w:rsidRPr="009D73CC">
              <w:rPr>
                <w:rFonts w:ascii="Times New Roman" w:hAnsi="Times New Roman" w:cs="Times New Roman"/>
                <w:b/>
                <w:bCs/>
                <w:sz w:val="16"/>
              </w:rPr>
              <w:t>Level 4</w:t>
            </w:r>
          </w:p>
          <w:p w:rsidR="002319C6" w:rsidRPr="009D73CC" w:rsidRDefault="002319C6" w:rsidP="003B62EB">
            <w:pPr>
              <w:widowControl w:val="0"/>
              <w:spacing w:after="0" w:line="240" w:lineRule="auto"/>
              <w:jc w:val="center"/>
              <w:rPr>
                <w:rFonts w:ascii="Times New Roman" w:hAnsi="Times New Roman" w:cs="Times New Roman"/>
                <w:b/>
                <w:bCs/>
                <w:sz w:val="16"/>
              </w:rPr>
            </w:pPr>
            <w:r w:rsidRPr="009D73CC">
              <w:rPr>
                <w:rFonts w:ascii="Times New Roman" w:hAnsi="Times New Roman" w:cs="Times New Roman"/>
                <w:b/>
                <w:bCs/>
                <w:sz w:val="16"/>
              </w:rPr>
              <w:t>16-20</w:t>
            </w:r>
          </w:p>
        </w:tc>
        <w:tc>
          <w:tcPr>
            <w:tcW w:w="85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hideMark/>
          </w:tcPr>
          <w:p w:rsidR="002319C6" w:rsidRPr="009D73CC" w:rsidRDefault="002319C6" w:rsidP="003B62EB">
            <w:pPr>
              <w:widowControl w:val="0"/>
              <w:spacing w:after="0" w:line="240" w:lineRule="auto"/>
              <w:jc w:val="center"/>
              <w:rPr>
                <w:rFonts w:ascii="Times New Roman" w:hAnsi="Times New Roman" w:cs="Times New Roman"/>
                <w:b/>
                <w:bCs/>
                <w:sz w:val="16"/>
              </w:rPr>
            </w:pPr>
            <w:r w:rsidRPr="009D73CC">
              <w:rPr>
                <w:rFonts w:ascii="Times New Roman" w:hAnsi="Times New Roman" w:cs="Times New Roman"/>
                <w:b/>
                <w:bCs/>
                <w:sz w:val="16"/>
              </w:rPr>
              <w:t>Value</w:t>
            </w:r>
          </w:p>
          <w:p w:rsidR="002319C6" w:rsidRPr="009D73CC" w:rsidRDefault="002319C6" w:rsidP="003B62EB">
            <w:pPr>
              <w:widowControl w:val="0"/>
              <w:spacing w:after="0" w:line="240" w:lineRule="auto"/>
              <w:jc w:val="center"/>
              <w:rPr>
                <w:rFonts w:ascii="Times New Roman" w:hAnsi="Times New Roman" w:cs="Times New Roman"/>
                <w:b/>
                <w:bCs/>
                <w:sz w:val="16"/>
              </w:rPr>
            </w:pPr>
            <w:r w:rsidRPr="009D73CC">
              <w:rPr>
                <w:rFonts w:ascii="Times New Roman" w:hAnsi="Times New Roman" w:cs="Times New Roman"/>
                <w:b/>
                <w:bCs/>
                <w:sz w:val="16"/>
              </w:rPr>
              <w:t>/20</w:t>
            </w:r>
          </w:p>
        </w:tc>
      </w:tr>
      <w:tr w:rsidR="009D73CC" w:rsidRPr="009D73CC" w:rsidTr="009D73CC">
        <w:trPr>
          <w:trHeight w:val="542"/>
        </w:trPr>
        <w:tc>
          <w:tcPr>
            <w:tcW w:w="6012"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2319C6" w:rsidRPr="009D73CC" w:rsidRDefault="002319C6" w:rsidP="00456C60">
            <w:pPr>
              <w:widowControl w:val="0"/>
              <w:rPr>
                <w:rFonts w:ascii="Times New Roman" w:hAnsi="Times New Roman" w:cs="Times New Roman"/>
                <w:sz w:val="18"/>
              </w:rPr>
            </w:pPr>
            <w:r w:rsidRPr="009D73CC">
              <w:rPr>
                <w:rFonts w:ascii="Times New Roman" w:hAnsi="Times New Roman" w:cs="Times New Roman"/>
                <w:b/>
                <w:bCs/>
                <w:sz w:val="18"/>
              </w:rPr>
              <w:t xml:space="preserve">Knowledge &amp; Understanding </w:t>
            </w:r>
            <w:r w:rsidRPr="009D73CC">
              <w:rPr>
                <w:rFonts w:ascii="Times New Roman" w:hAnsi="Times New Roman" w:cs="Times New Roman"/>
                <w:sz w:val="18"/>
              </w:rPr>
              <w:t>(knowledge of work &amp; context, understanding of the text’s deeper issues and ideas)</w:t>
            </w:r>
          </w:p>
        </w:tc>
        <w:tc>
          <w:tcPr>
            <w:tcW w:w="992" w:type="dxa"/>
            <w:tcBorders>
              <w:top w:val="single" w:sz="2" w:space="0" w:color="000000"/>
              <w:left w:val="single" w:sz="8" w:space="0" w:color="000000"/>
              <w:bottom w:val="single" w:sz="8"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456C60">
            <w:pPr>
              <w:widowControl w:val="0"/>
              <w:jc w:val="right"/>
              <w:rPr>
                <w:rFonts w:ascii="Times New Roman" w:hAnsi="Times New Roman" w:cs="Times New Roman"/>
                <w:sz w:val="18"/>
              </w:rPr>
            </w:pPr>
            <w:r w:rsidRPr="009D73CC">
              <w:rPr>
                <w:rFonts w:ascii="Times New Roman" w:hAnsi="Times New Roman" w:cs="Times New Roman"/>
                <w:sz w:val="18"/>
              </w:rPr>
              <w:t> </w:t>
            </w:r>
          </w:p>
        </w:tc>
        <w:tc>
          <w:tcPr>
            <w:tcW w:w="992" w:type="dxa"/>
            <w:tcBorders>
              <w:top w:val="single" w:sz="2" w:space="0" w:color="000000"/>
              <w:left w:val="single" w:sz="8" w:space="0" w:color="000000"/>
              <w:bottom w:val="single" w:sz="8"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456C60">
            <w:pPr>
              <w:widowControl w:val="0"/>
              <w:jc w:val="right"/>
              <w:rPr>
                <w:rFonts w:ascii="Times New Roman" w:hAnsi="Times New Roman" w:cs="Times New Roman"/>
                <w:sz w:val="18"/>
              </w:rPr>
            </w:pPr>
            <w:r w:rsidRPr="009D73CC">
              <w:rPr>
                <w:rFonts w:ascii="Times New Roman" w:hAnsi="Times New Roman" w:cs="Times New Roman"/>
                <w:sz w:val="18"/>
              </w:rPr>
              <w:t> </w:t>
            </w:r>
          </w:p>
        </w:tc>
        <w:tc>
          <w:tcPr>
            <w:tcW w:w="993" w:type="dxa"/>
            <w:tcBorders>
              <w:top w:val="single" w:sz="2" w:space="0" w:color="000000"/>
              <w:left w:val="single" w:sz="8" w:space="0" w:color="000000"/>
              <w:bottom w:val="single" w:sz="8"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456C60">
            <w:pPr>
              <w:widowControl w:val="0"/>
              <w:jc w:val="right"/>
              <w:rPr>
                <w:rFonts w:ascii="Times New Roman" w:hAnsi="Times New Roman" w:cs="Times New Roman"/>
                <w:sz w:val="18"/>
              </w:rPr>
            </w:pPr>
            <w:r w:rsidRPr="009D73CC">
              <w:rPr>
                <w:rFonts w:ascii="Times New Roman" w:hAnsi="Times New Roman" w:cs="Times New Roman"/>
                <w:sz w:val="18"/>
              </w:rPr>
              <w:t> </w:t>
            </w:r>
          </w:p>
        </w:tc>
        <w:tc>
          <w:tcPr>
            <w:tcW w:w="992" w:type="dxa"/>
            <w:tcBorders>
              <w:top w:val="single" w:sz="2" w:space="0" w:color="000000"/>
              <w:left w:val="single" w:sz="8" w:space="0" w:color="000000"/>
              <w:bottom w:val="single" w:sz="8"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456C60">
            <w:pPr>
              <w:widowControl w:val="0"/>
              <w:jc w:val="right"/>
              <w:rPr>
                <w:rFonts w:ascii="Times New Roman" w:hAnsi="Times New Roman" w:cs="Times New Roman"/>
                <w:sz w:val="18"/>
              </w:rPr>
            </w:pPr>
            <w:r w:rsidRPr="009D73CC">
              <w:rPr>
                <w:rFonts w:ascii="Times New Roman" w:hAnsi="Times New Roman" w:cs="Times New Roman"/>
                <w:sz w:val="18"/>
              </w:rPr>
              <w:t> </w:t>
            </w:r>
          </w:p>
        </w:tc>
        <w:tc>
          <w:tcPr>
            <w:tcW w:w="850"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2319C6" w:rsidRPr="009D73CC" w:rsidRDefault="002319C6" w:rsidP="00456C60">
            <w:pPr>
              <w:widowControl w:val="0"/>
              <w:rPr>
                <w:rFonts w:ascii="Times New Roman" w:hAnsi="Times New Roman" w:cs="Times New Roman"/>
                <w:b/>
                <w:bCs/>
              </w:rPr>
            </w:pPr>
          </w:p>
        </w:tc>
      </w:tr>
      <w:tr w:rsidR="009D73CC" w:rsidRPr="009D73CC" w:rsidTr="009D73CC">
        <w:trPr>
          <w:trHeight w:val="963"/>
        </w:trPr>
        <w:tc>
          <w:tcPr>
            <w:tcW w:w="601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2319C6" w:rsidRPr="009D73CC" w:rsidRDefault="002319C6" w:rsidP="00456C60">
            <w:pPr>
              <w:widowControl w:val="0"/>
              <w:rPr>
                <w:rFonts w:ascii="Times New Roman" w:hAnsi="Times New Roman" w:cs="Times New Roman"/>
                <w:sz w:val="18"/>
              </w:rPr>
            </w:pPr>
            <w:r w:rsidRPr="009D73CC">
              <w:rPr>
                <w:rFonts w:ascii="Times New Roman" w:hAnsi="Times New Roman" w:cs="Times New Roman"/>
                <w:b/>
                <w:bCs/>
                <w:sz w:val="18"/>
              </w:rPr>
              <w:t xml:space="preserve">Thinking &amp; Inquiry + Close Reading </w:t>
            </w:r>
            <w:r w:rsidRPr="009D73CC">
              <w:rPr>
                <w:rFonts w:ascii="Times New Roman" w:hAnsi="Times New Roman" w:cs="Times New Roman"/>
                <w:sz w:val="18"/>
              </w:rPr>
              <w:t>(critical response, interpretation of ideas and feelings, detailed analysis of the effects of literary features and language of the work, well supported by relevant and direct reference to the text)</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456C60">
            <w:pPr>
              <w:widowControl w:val="0"/>
              <w:jc w:val="right"/>
              <w:rPr>
                <w:rFonts w:ascii="Times New Roman" w:hAnsi="Times New Roman" w:cs="Times New Roman"/>
                <w:sz w:val="18"/>
              </w:rPr>
            </w:pPr>
            <w:r w:rsidRPr="009D73CC">
              <w:rPr>
                <w:rFonts w:ascii="Times New Roman" w:hAnsi="Times New Roman" w:cs="Times New Roman"/>
                <w:sz w:val="18"/>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456C60">
            <w:pPr>
              <w:widowControl w:val="0"/>
              <w:jc w:val="right"/>
              <w:rPr>
                <w:rFonts w:ascii="Times New Roman" w:hAnsi="Times New Roman" w:cs="Times New Roman"/>
                <w:sz w:val="18"/>
              </w:rPr>
            </w:pPr>
            <w:r w:rsidRPr="009D73CC">
              <w:rPr>
                <w:rFonts w:ascii="Times New Roman" w:hAnsi="Times New Roman" w:cs="Times New Roman"/>
                <w:sz w:val="18"/>
              </w:rPr>
              <w:t> </w:t>
            </w:r>
          </w:p>
        </w:tc>
        <w:tc>
          <w:tcPr>
            <w:tcW w:w="993" w:type="dxa"/>
            <w:tcBorders>
              <w:top w:val="single" w:sz="8" w:space="0" w:color="000000"/>
              <w:left w:val="single" w:sz="8" w:space="0" w:color="000000"/>
              <w:bottom w:val="single" w:sz="8"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456C60">
            <w:pPr>
              <w:widowControl w:val="0"/>
              <w:jc w:val="right"/>
              <w:rPr>
                <w:rFonts w:ascii="Times New Roman" w:hAnsi="Times New Roman" w:cs="Times New Roman"/>
                <w:sz w:val="18"/>
              </w:rPr>
            </w:pPr>
            <w:r w:rsidRPr="009D73CC">
              <w:rPr>
                <w:rFonts w:ascii="Times New Roman" w:hAnsi="Times New Roman" w:cs="Times New Roman"/>
                <w:sz w:val="18"/>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456C60">
            <w:pPr>
              <w:widowControl w:val="0"/>
              <w:jc w:val="right"/>
              <w:rPr>
                <w:rFonts w:ascii="Times New Roman" w:hAnsi="Times New Roman" w:cs="Times New Roman"/>
                <w:sz w:val="18"/>
              </w:rPr>
            </w:pPr>
            <w:r w:rsidRPr="009D73CC">
              <w:rPr>
                <w:rFonts w:ascii="Times New Roman" w:hAnsi="Times New Roman" w:cs="Times New Roman"/>
                <w:sz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2319C6" w:rsidRPr="009D73CC" w:rsidRDefault="002319C6" w:rsidP="00456C60">
            <w:pPr>
              <w:widowControl w:val="0"/>
              <w:rPr>
                <w:rFonts w:ascii="Times New Roman" w:hAnsi="Times New Roman" w:cs="Times New Roman"/>
                <w:b/>
                <w:bCs/>
              </w:rPr>
            </w:pPr>
          </w:p>
        </w:tc>
      </w:tr>
      <w:tr w:rsidR="009D73CC" w:rsidRPr="009D73CC" w:rsidTr="009D73CC">
        <w:trPr>
          <w:trHeight w:val="963"/>
        </w:trPr>
        <w:tc>
          <w:tcPr>
            <w:tcW w:w="601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2319C6" w:rsidRPr="009D73CC" w:rsidRDefault="002319C6" w:rsidP="00456C60">
            <w:pPr>
              <w:widowControl w:val="0"/>
              <w:rPr>
                <w:rFonts w:ascii="Times New Roman" w:hAnsi="Times New Roman" w:cs="Times New Roman"/>
                <w:sz w:val="18"/>
              </w:rPr>
            </w:pPr>
            <w:r w:rsidRPr="009D73CC">
              <w:rPr>
                <w:rFonts w:ascii="Times New Roman" w:hAnsi="Times New Roman" w:cs="Times New Roman"/>
                <w:b/>
                <w:bCs/>
                <w:sz w:val="18"/>
              </w:rPr>
              <w:t xml:space="preserve">Application/Communication </w:t>
            </w:r>
            <w:r w:rsidRPr="009D73CC">
              <w:rPr>
                <w:rFonts w:ascii="Times New Roman" w:hAnsi="Times New Roman" w:cs="Times New Roman"/>
                <w:sz w:val="18"/>
              </w:rPr>
              <w:t>(clear and logical structure, a focused response in a clear, coherent, effective and convincing manner, smooth and effective integration of supporting  references and material); appropriate use of technology; polished delivery; teamwork</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456C60">
            <w:pPr>
              <w:widowControl w:val="0"/>
              <w:jc w:val="right"/>
              <w:rPr>
                <w:rFonts w:ascii="Times New Roman" w:hAnsi="Times New Roman" w:cs="Times New Roman"/>
                <w:sz w:val="18"/>
              </w:rPr>
            </w:pPr>
            <w:r w:rsidRPr="009D73CC">
              <w:rPr>
                <w:rFonts w:ascii="Times New Roman" w:hAnsi="Times New Roman" w:cs="Times New Roman"/>
                <w:sz w:val="18"/>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456C60">
            <w:pPr>
              <w:widowControl w:val="0"/>
              <w:jc w:val="right"/>
              <w:rPr>
                <w:rFonts w:ascii="Times New Roman" w:hAnsi="Times New Roman" w:cs="Times New Roman"/>
                <w:sz w:val="18"/>
              </w:rPr>
            </w:pPr>
            <w:r w:rsidRPr="009D73CC">
              <w:rPr>
                <w:rFonts w:ascii="Times New Roman" w:hAnsi="Times New Roman" w:cs="Times New Roman"/>
                <w:sz w:val="18"/>
              </w:rPr>
              <w:t> </w:t>
            </w:r>
          </w:p>
        </w:tc>
        <w:tc>
          <w:tcPr>
            <w:tcW w:w="993" w:type="dxa"/>
            <w:tcBorders>
              <w:top w:val="single" w:sz="8" w:space="0" w:color="000000"/>
              <w:left w:val="single" w:sz="8" w:space="0" w:color="000000"/>
              <w:bottom w:val="single" w:sz="8"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456C60">
            <w:pPr>
              <w:widowControl w:val="0"/>
              <w:jc w:val="right"/>
              <w:rPr>
                <w:rFonts w:ascii="Times New Roman" w:hAnsi="Times New Roman" w:cs="Times New Roman"/>
                <w:sz w:val="18"/>
              </w:rPr>
            </w:pPr>
            <w:r w:rsidRPr="009D73CC">
              <w:rPr>
                <w:rFonts w:ascii="Times New Roman" w:hAnsi="Times New Roman" w:cs="Times New Roman"/>
                <w:sz w:val="18"/>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456C60">
            <w:pPr>
              <w:widowControl w:val="0"/>
              <w:jc w:val="right"/>
              <w:rPr>
                <w:rFonts w:ascii="Times New Roman" w:hAnsi="Times New Roman" w:cs="Times New Roman"/>
                <w:sz w:val="18"/>
              </w:rPr>
            </w:pPr>
            <w:r w:rsidRPr="009D73CC">
              <w:rPr>
                <w:rFonts w:ascii="Times New Roman" w:hAnsi="Times New Roman" w:cs="Times New Roman"/>
                <w:sz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2319C6" w:rsidRPr="009D73CC" w:rsidRDefault="002319C6" w:rsidP="00456C60">
            <w:pPr>
              <w:widowControl w:val="0"/>
              <w:rPr>
                <w:rFonts w:ascii="Times New Roman" w:hAnsi="Times New Roman" w:cs="Times New Roman"/>
                <w:b/>
                <w:bCs/>
              </w:rPr>
            </w:pPr>
            <w:r w:rsidRPr="009D73CC">
              <w:rPr>
                <w:rFonts w:ascii="Times New Roman" w:hAnsi="Times New Roman" w:cs="Times New Roman"/>
                <w:b/>
                <w:bCs/>
              </w:rPr>
              <w:t> </w:t>
            </w:r>
          </w:p>
        </w:tc>
      </w:tr>
      <w:tr w:rsidR="009D73CC" w:rsidRPr="009D73CC" w:rsidTr="009D73CC">
        <w:trPr>
          <w:trHeight w:val="802"/>
        </w:trPr>
        <w:tc>
          <w:tcPr>
            <w:tcW w:w="6012"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rsidR="002319C6" w:rsidRPr="009D73CC" w:rsidRDefault="002319C6" w:rsidP="009D73CC">
            <w:pPr>
              <w:widowControl w:val="0"/>
              <w:spacing w:after="0" w:line="240" w:lineRule="auto"/>
              <w:rPr>
                <w:rFonts w:ascii="Times New Roman" w:hAnsi="Times New Roman" w:cs="Times New Roman"/>
                <w:sz w:val="18"/>
              </w:rPr>
            </w:pPr>
            <w:r w:rsidRPr="009D73CC">
              <w:rPr>
                <w:rFonts w:ascii="Times New Roman" w:hAnsi="Times New Roman" w:cs="Times New Roman"/>
                <w:b/>
                <w:bCs/>
                <w:sz w:val="18"/>
              </w:rPr>
              <w:t xml:space="preserve">Communication </w:t>
            </w:r>
            <w:r w:rsidRPr="009D73CC">
              <w:rPr>
                <w:rFonts w:ascii="Times New Roman" w:hAnsi="Times New Roman" w:cs="Times New Roman"/>
                <w:sz w:val="18"/>
              </w:rPr>
              <w:t xml:space="preserve">(clear, varied and precise use of language, appropriate register and style, </w:t>
            </w:r>
            <w:proofErr w:type="spellStart"/>
            <w:r w:rsidRPr="009D73CC">
              <w:rPr>
                <w:rFonts w:ascii="Times New Roman" w:hAnsi="Times New Roman" w:cs="Times New Roman"/>
                <w:sz w:val="18"/>
              </w:rPr>
              <w:t>precisioned</w:t>
            </w:r>
            <w:proofErr w:type="spellEnd"/>
            <w:r w:rsidRPr="009D73CC">
              <w:rPr>
                <w:rFonts w:ascii="Times New Roman" w:hAnsi="Times New Roman" w:cs="Times New Roman"/>
                <w:sz w:val="18"/>
              </w:rPr>
              <w:t xml:space="preserve"> use of appropriate critical terminology, use of technology where applicable)</w:t>
            </w:r>
          </w:p>
        </w:tc>
        <w:tc>
          <w:tcPr>
            <w:tcW w:w="992" w:type="dxa"/>
            <w:tcBorders>
              <w:top w:val="single" w:sz="8" w:space="0" w:color="000000"/>
              <w:left w:val="single" w:sz="8" w:space="0" w:color="000000"/>
              <w:bottom w:val="single" w:sz="18"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456C60">
            <w:pPr>
              <w:widowControl w:val="0"/>
              <w:jc w:val="right"/>
              <w:rPr>
                <w:rFonts w:ascii="Times New Roman" w:hAnsi="Times New Roman" w:cs="Times New Roman"/>
                <w:sz w:val="18"/>
              </w:rPr>
            </w:pPr>
            <w:r w:rsidRPr="009D73CC">
              <w:rPr>
                <w:rFonts w:ascii="Times New Roman" w:hAnsi="Times New Roman" w:cs="Times New Roman"/>
                <w:sz w:val="18"/>
              </w:rPr>
              <w:t> </w:t>
            </w:r>
          </w:p>
        </w:tc>
        <w:tc>
          <w:tcPr>
            <w:tcW w:w="992" w:type="dxa"/>
            <w:tcBorders>
              <w:top w:val="single" w:sz="8" w:space="0" w:color="000000"/>
              <w:left w:val="single" w:sz="8" w:space="0" w:color="000000"/>
              <w:bottom w:val="single" w:sz="18"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456C60">
            <w:pPr>
              <w:widowControl w:val="0"/>
              <w:jc w:val="right"/>
              <w:rPr>
                <w:rFonts w:ascii="Times New Roman" w:hAnsi="Times New Roman" w:cs="Times New Roman"/>
                <w:sz w:val="18"/>
              </w:rPr>
            </w:pPr>
            <w:r w:rsidRPr="009D73CC">
              <w:rPr>
                <w:rFonts w:ascii="Times New Roman" w:hAnsi="Times New Roman" w:cs="Times New Roman"/>
                <w:sz w:val="18"/>
              </w:rPr>
              <w:t> </w:t>
            </w:r>
          </w:p>
        </w:tc>
        <w:tc>
          <w:tcPr>
            <w:tcW w:w="993" w:type="dxa"/>
            <w:tcBorders>
              <w:top w:val="single" w:sz="8" w:space="0" w:color="000000"/>
              <w:left w:val="single" w:sz="8" w:space="0" w:color="000000"/>
              <w:bottom w:val="single" w:sz="18"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456C60">
            <w:pPr>
              <w:widowControl w:val="0"/>
              <w:jc w:val="right"/>
              <w:rPr>
                <w:rFonts w:ascii="Times New Roman" w:hAnsi="Times New Roman" w:cs="Times New Roman"/>
                <w:sz w:val="18"/>
              </w:rPr>
            </w:pPr>
            <w:r w:rsidRPr="009D73CC">
              <w:rPr>
                <w:rFonts w:ascii="Times New Roman" w:hAnsi="Times New Roman" w:cs="Times New Roman"/>
                <w:sz w:val="18"/>
              </w:rPr>
              <w:t> </w:t>
            </w:r>
          </w:p>
        </w:tc>
        <w:tc>
          <w:tcPr>
            <w:tcW w:w="992" w:type="dxa"/>
            <w:tcBorders>
              <w:top w:val="single" w:sz="8" w:space="0" w:color="000000"/>
              <w:left w:val="single" w:sz="8" w:space="0" w:color="000000"/>
              <w:bottom w:val="single" w:sz="18" w:space="0" w:color="000000"/>
              <w:right w:val="single" w:sz="8" w:space="0" w:color="000000"/>
            </w:tcBorders>
            <w:shd w:val="clear" w:color="auto" w:fill="DDDDDD"/>
            <w:tcMar>
              <w:top w:w="58" w:type="dxa"/>
              <w:left w:w="58" w:type="dxa"/>
              <w:bottom w:w="58" w:type="dxa"/>
              <w:right w:w="58" w:type="dxa"/>
            </w:tcMar>
            <w:hideMark/>
          </w:tcPr>
          <w:p w:rsidR="002319C6" w:rsidRPr="009D73CC" w:rsidRDefault="002319C6" w:rsidP="00456C60">
            <w:pPr>
              <w:widowControl w:val="0"/>
              <w:jc w:val="right"/>
              <w:rPr>
                <w:rFonts w:ascii="Times New Roman" w:hAnsi="Times New Roman" w:cs="Times New Roman"/>
                <w:sz w:val="18"/>
              </w:rPr>
            </w:pPr>
            <w:r w:rsidRPr="009D73CC">
              <w:rPr>
                <w:rFonts w:ascii="Times New Roman" w:hAnsi="Times New Roman" w:cs="Times New Roman"/>
                <w:sz w:val="18"/>
              </w:rPr>
              <w:t> </w:t>
            </w:r>
          </w:p>
        </w:tc>
        <w:tc>
          <w:tcPr>
            <w:tcW w:w="85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rsidR="002319C6" w:rsidRPr="009D73CC" w:rsidRDefault="002319C6" w:rsidP="00456C60">
            <w:pPr>
              <w:widowControl w:val="0"/>
              <w:rPr>
                <w:rFonts w:ascii="Times New Roman" w:hAnsi="Times New Roman" w:cs="Times New Roman"/>
                <w:b/>
                <w:bCs/>
              </w:rPr>
            </w:pPr>
            <w:r w:rsidRPr="009D73CC">
              <w:rPr>
                <w:rFonts w:ascii="Times New Roman" w:hAnsi="Times New Roman" w:cs="Times New Roman"/>
                <w:b/>
                <w:bCs/>
              </w:rPr>
              <w:t> </w:t>
            </w:r>
          </w:p>
        </w:tc>
      </w:tr>
    </w:tbl>
    <w:p w:rsidR="002319C6" w:rsidRPr="009D73CC" w:rsidRDefault="002319C6" w:rsidP="002319C6">
      <w:pPr>
        <w:spacing w:line="240" w:lineRule="auto"/>
        <w:contextualSpacing/>
        <w:rPr>
          <w:rFonts w:ascii="Times New Roman" w:hAnsi="Times New Roman" w:cs="Times New Roman"/>
        </w:rPr>
      </w:pPr>
    </w:p>
    <w:p w:rsidR="003B62EB" w:rsidRPr="009D73CC" w:rsidRDefault="003B62EB">
      <w:pPr>
        <w:rPr>
          <w:rFonts w:ascii="Times New Roman" w:hAnsi="Times New Roman" w:cs="Times New Roman"/>
        </w:rPr>
      </w:pPr>
    </w:p>
    <w:sectPr w:rsidR="003B62EB" w:rsidRPr="009D73CC" w:rsidSect="009D73C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EE" w:rsidRDefault="007E6EEE" w:rsidP="002319C6">
      <w:pPr>
        <w:spacing w:after="0" w:line="240" w:lineRule="auto"/>
      </w:pPr>
      <w:r>
        <w:separator/>
      </w:r>
    </w:p>
  </w:endnote>
  <w:endnote w:type="continuationSeparator" w:id="0">
    <w:p w:rsidR="007E6EEE" w:rsidRDefault="007E6EEE" w:rsidP="0023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EE" w:rsidRDefault="007E6EEE" w:rsidP="002319C6">
      <w:pPr>
        <w:spacing w:after="0" w:line="240" w:lineRule="auto"/>
      </w:pPr>
      <w:r>
        <w:separator/>
      </w:r>
    </w:p>
  </w:footnote>
  <w:footnote w:type="continuationSeparator" w:id="0">
    <w:p w:rsidR="007E6EEE" w:rsidRDefault="007E6EEE" w:rsidP="00231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3F8B"/>
    <w:multiLevelType w:val="hybridMultilevel"/>
    <w:tmpl w:val="E8DCFA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AC41C55"/>
    <w:multiLevelType w:val="hybridMultilevel"/>
    <w:tmpl w:val="40486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DD35265"/>
    <w:multiLevelType w:val="hybridMultilevel"/>
    <w:tmpl w:val="7090A0F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C6"/>
    <w:rsid w:val="0009495C"/>
    <w:rsid w:val="002319C6"/>
    <w:rsid w:val="003B62EB"/>
    <w:rsid w:val="00430B81"/>
    <w:rsid w:val="005771A9"/>
    <w:rsid w:val="007E6EEE"/>
    <w:rsid w:val="009D73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C6"/>
    <w:pPr>
      <w:spacing w:after="200" w:line="276" w:lineRule="auto"/>
      <w:jc w:val="left"/>
    </w:pPr>
    <w:rPr>
      <w:rFonts w:eastAsiaTheme="minorEastAsia"/>
      <w:lang w:eastAsia="ja-JP"/>
    </w:rPr>
  </w:style>
  <w:style w:type="paragraph" w:styleId="Heading2">
    <w:name w:val="heading 2"/>
    <w:basedOn w:val="Normal"/>
    <w:next w:val="Normal"/>
    <w:link w:val="Heading2Char"/>
    <w:qFormat/>
    <w:rsid w:val="002319C6"/>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19C6"/>
    <w:rPr>
      <w:rFonts w:ascii="Arial" w:eastAsia="Times New Roman" w:hAnsi="Arial" w:cs="Arial"/>
      <w:b/>
      <w:bCs/>
      <w:i/>
      <w:iCs/>
      <w:sz w:val="28"/>
      <w:szCs w:val="28"/>
      <w:lang w:val="en-US"/>
    </w:rPr>
  </w:style>
  <w:style w:type="paragraph" w:styleId="NormalWeb">
    <w:name w:val="Normal (Web)"/>
    <w:basedOn w:val="Normal"/>
    <w:rsid w:val="002319C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rsid w:val="002319C6"/>
    <w:rPr>
      <w:color w:val="116633"/>
      <w:u w:val="single"/>
    </w:rPr>
  </w:style>
  <w:style w:type="paragraph" w:styleId="FootnoteText">
    <w:name w:val="footnote text"/>
    <w:basedOn w:val="Normal"/>
    <w:link w:val="FootnoteTextChar"/>
    <w:uiPriority w:val="99"/>
    <w:semiHidden/>
    <w:unhideWhenUsed/>
    <w:rsid w:val="002319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9C6"/>
    <w:rPr>
      <w:rFonts w:eastAsiaTheme="minorEastAsia"/>
      <w:sz w:val="20"/>
      <w:szCs w:val="20"/>
      <w:lang w:eastAsia="ja-JP"/>
    </w:rPr>
  </w:style>
  <w:style w:type="character" w:styleId="FootnoteReference">
    <w:name w:val="footnote reference"/>
    <w:basedOn w:val="DefaultParagraphFont"/>
    <w:uiPriority w:val="99"/>
    <w:semiHidden/>
    <w:unhideWhenUsed/>
    <w:rsid w:val="002319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C6"/>
    <w:pPr>
      <w:spacing w:after="200" w:line="276" w:lineRule="auto"/>
      <w:jc w:val="left"/>
    </w:pPr>
    <w:rPr>
      <w:rFonts w:eastAsiaTheme="minorEastAsia"/>
      <w:lang w:eastAsia="ja-JP"/>
    </w:rPr>
  </w:style>
  <w:style w:type="paragraph" w:styleId="Heading2">
    <w:name w:val="heading 2"/>
    <w:basedOn w:val="Normal"/>
    <w:next w:val="Normal"/>
    <w:link w:val="Heading2Char"/>
    <w:qFormat/>
    <w:rsid w:val="002319C6"/>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19C6"/>
    <w:rPr>
      <w:rFonts w:ascii="Arial" w:eastAsia="Times New Roman" w:hAnsi="Arial" w:cs="Arial"/>
      <w:b/>
      <w:bCs/>
      <w:i/>
      <w:iCs/>
      <w:sz w:val="28"/>
      <w:szCs w:val="28"/>
      <w:lang w:val="en-US"/>
    </w:rPr>
  </w:style>
  <w:style w:type="paragraph" w:styleId="NormalWeb">
    <w:name w:val="Normal (Web)"/>
    <w:basedOn w:val="Normal"/>
    <w:rsid w:val="002319C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rsid w:val="002319C6"/>
    <w:rPr>
      <w:color w:val="116633"/>
      <w:u w:val="single"/>
    </w:rPr>
  </w:style>
  <w:style w:type="paragraph" w:styleId="FootnoteText">
    <w:name w:val="footnote text"/>
    <w:basedOn w:val="Normal"/>
    <w:link w:val="FootnoteTextChar"/>
    <w:uiPriority w:val="99"/>
    <w:semiHidden/>
    <w:unhideWhenUsed/>
    <w:rsid w:val="002319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9C6"/>
    <w:rPr>
      <w:rFonts w:eastAsiaTheme="minorEastAsia"/>
      <w:sz w:val="20"/>
      <w:szCs w:val="20"/>
      <w:lang w:eastAsia="ja-JP"/>
    </w:rPr>
  </w:style>
  <w:style w:type="character" w:styleId="FootnoteReference">
    <w:name w:val="footnote reference"/>
    <w:basedOn w:val="DefaultParagraphFont"/>
    <w:uiPriority w:val="99"/>
    <w:semiHidden/>
    <w:unhideWhenUsed/>
    <w:rsid w:val="002319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2015-10-14T23:20:00Z</dcterms:created>
  <dcterms:modified xsi:type="dcterms:W3CDTF">2015-10-14T23:53:00Z</dcterms:modified>
</cp:coreProperties>
</file>